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4E93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  <w:r>
        <w:rPr>
          <w:b/>
          <w:noProof/>
          <w:sz w:val="20"/>
          <w:szCs w:val="20"/>
          <w:lang w:val="ro-RO"/>
        </w:rPr>
        <w:t>RAPORT</w:t>
      </w:r>
    </w:p>
    <w:p w14:paraId="4413238A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  <w:r>
        <w:rPr>
          <w:b/>
          <w:noProof/>
          <w:sz w:val="20"/>
          <w:szCs w:val="20"/>
          <w:lang w:val="ro-RO"/>
        </w:rPr>
        <w:t xml:space="preserve">privind activitatea de solutionare a plangerilor primite de la </w:t>
      </w:r>
    </w:p>
    <w:p w14:paraId="2D473036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  <w:r>
        <w:rPr>
          <w:b/>
          <w:noProof/>
          <w:sz w:val="20"/>
          <w:szCs w:val="20"/>
          <w:lang w:val="ro-RO"/>
        </w:rPr>
        <w:t xml:space="preserve">clientii finali  </w:t>
      </w:r>
    </w:p>
    <w:p w14:paraId="1F11619C" w14:textId="2B4AE56A" w:rsidR="00722105" w:rsidRDefault="00722105" w:rsidP="00722105">
      <w:pPr>
        <w:jc w:val="center"/>
        <w:rPr>
          <w:b/>
          <w:bCs/>
          <w:noProof/>
          <w:color w:val="000000" w:themeColor="text1"/>
          <w:sz w:val="20"/>
          <w:szCs w:val="20"/>
          <w:lang w:val="ro-RO"/>
        </w:rPr>
      </w:pPr>
      <w:r>
        <w:rPr>
          <w:b/>
          <w:bCs/>
          <w:noProof/>
          <w:color w:val="000000" w:themeColor="text1"/>
          <w:sz w:val="20"/>
          <w:szCs w:val="20"/>
          <w:lang w:val="ro-RO"/>
        </w:rPr>
        <w:t>Perioada: semestrul I  an 202</w:t>
      </w:r>
      <w:r w:rsidR="00F0733A">
        <w:rPr>
          <w:b/>
          <w:bCs/>
          <w:noProof/>
          <w:color w:val="000000" w:themeColor="text1"/>
          <w:sz w:val="20"/>
          <w:szCs w:val="20"/>
          <w:lang w:val="ro-RO"/>
        </w:rPr>
        <w:t>5</w:t>
      </w:r>
    </w:p>
    <w:p w14:paraId="78DA56EA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</w:p>
    <w:p w14:paraId="6B454684" w14:textId="77777777" w:rsidR="00722105" w:rsidRDefault="00722105" w:rsidP="00722105">
      <w:pPr>
        <w:jc w:val="center"/>
        <w:rPr>
          <w:noProof/>
          <w:color w:val="000000"/>
          <w:sz w:val="20"/>
          <w:szCs w:val="20"/>
          <w:lang w:val="ro-RO"/>
        </w:rPr>
      </w:pPr>
    </w:p>
    <w:p w14:paraId="5BAF2B5D" w14:textId="77777777" w:rsidR="00722105" w:rsidRDefault="00722105" w:rsidP="00722105">
      <w:pPr>
        <w:jc w:val="right"/>
        <w:rPr>
          <w:b/>
          <w:noProof/>
          <w:sz w:val="20"/>
          <w:szCs w:val="20"/>
          <w:lang w:val="ro-RO"/>
        </w:rPr>
      </w:pPr>
      <w:r>
        <w:rPr>
          <w:noProof/>
          <w:color w:val="000000"/>
          <w:sz w:val="20"/>
          <w:szCs w:val="20"/>
          <w:lang w:val="ro-RO"/>
        </w:rPr>
        <w:t>Anexa nr. 3 la procedura-cadru</w:t>
      </w:r>
    </w:p>
    <w:tbl>
      <w:tblPr>
        <w:tblStyle w:val="TableGrid"/>
        <w:tblW w:w="9283" w:type="dxa"/>
        <w:tblInd w:w="0" w:type="dxa"/>
        <w:tblLook w:val="04A0" w:firstRow="1" w:lastRow="0" w:firstColumn="1" w:lastColumn="0" w:noHBand="0" w:noVBand="1"/>
      </w:tblPr>
      <w:tblGrid>
        <w:gridCol w:w="567"/>
        <w:gridCol w:w="3685"/>
        <w:gridCol w:w="639"/>
        <w:gridCol w:w="1742"/>
        <w:gridCol w:w="2650"/>
      </w:tblGrid>
      <w:tr w:rsidR="00722105" w14:paraId="1939D714" w14:textId="77777777" w:rsidTr="00722105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F80E6" w14:textId="77777777" w:rsidR="00722105" w:rsidRDefault="00722105">
            <w:pPr>
              <w:rPr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8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0E9E5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Structura plângerilor în funcţie de modul de preluare şi tipul clientului final</w:t>
            </w:r>
          </w:p>
        </w:tc>
      </w:tr>
      <w:tr w:rsidR="00722105" w14:paraId="4145678C" w14:textId="77777777" w:rsidTr="00722105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CC86C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1ACE1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FED2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71EA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3FD9E" w14:textId="77777777" w:rsidR="00722105" w:rsidRDefault="00722105">
            <w:pPr>
              <w:rPr>
                <w:sz w:val="20"/>
                <w:szCs w:val="20"/>
              </w:rPr>
            </w:pPr>
          </w:p>
        </w:tc>
      </w:tr>
      <w:tr w:rsidR="00722105" w14:paraId="376BE4B2" w14:textId="77777777" w:rsidTr="00722105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34D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BA73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Modul de preluare a plângerilor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BD45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plângeri</w:t>
            </w:r>
          </w:p>
        </w:tc>
      </w:tr>
      <w:tr w:rsidR="00722105" w14:paraId="079BFD3A" w14:textId="77777777" w:rsidTr="0072210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855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7C4A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DA55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23D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Client final casnic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351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Client final noncasnic</w:t>
            </w:r>
          </w:p>
        </w:tc>
      </w:tr>
      <w:tr w:rsidR="00722105" w14:paraId="633C245E" w14:textId="77777777" w:rsidTr="00722105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289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388C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Depunere în scris la punctele unice de contact ale furnizorilor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DDE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1187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6C1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0 </w:t>
            </w:r>
          </w:p>
        </w:tc>
      </w:tr>
      <w:tr w:rsidR="00722105" w14:paraId="33D23AF3" w14:textId="77777777" w:rsidTr="00722105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0437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7232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unui centru de telefonie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B530" w14:textId="670AA6F2" w:rsidR="00722105" w:rsidRDefault="00A30319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15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="00722105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826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E15B" w14:textId="67AEF4F3" w:rsidR="00722105" w:rsidRDefault="00A30319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15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="00722105">
              <w:rPr>
                <w:noProof/>
                <w:color w:val="000000"/>
                <w:sz w:val="20"/>
                <w:szCs w:val="20"/>
                <w:lang w:val="ro-RO"/>
              </w:rPr>
              <w:t xml:space="preserve">  </w:t>
            </w:r>
          </w:p>
        </w:tc>
      </w:tr>
      <w:tr w:rsidR="00722105" w14:paraId="7E92E5A6" w14:textId="77777777" w:rsidTr="00722105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C6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AED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unei adrese de e-mail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6FEE" w14:textId="1767BAB7" w:rsidR="00722105" w:rsidRDefault="00425E58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39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E4CA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DF5D" w14:textId="2907CB55" w:rsidR="00722105" w:rsidRDefault="00425E58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39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722105" w14:paraId="01A4D1BE" w14:textId="77777777" w:rsidTr="0072210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FCAD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5DED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intermediul formularului on-line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835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74AA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5775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02A33E0F" w14:textId="77777777" w:rsidTr="0072210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0CEA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2AE5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fax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A03E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554C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84F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53F8F465" w14:textId="77777777" w:rsidTr="00722105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7122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FB38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Prin poştă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A54" w14:textId="2B103E7E" w:rsidR="00722105" w:rsidRDefault="00425E58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A371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13E" w14:textId="293A391C" w:rsidR="00722105" w:rsidRDefault="00425E58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722105" w14:paraId="7FF14656" w14:textId="77777777" w:rsidTr="00722105">
        <w:trPr>
          <w:trHeight w:val="34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9D9D" w14:textId="77777777" w:rsidR="00722105" w:rsidRDefault="00722105">
            <w:pP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381F" w14:textId="11F0CDB0" w:rsidR="00722105" w:rsidRDefault="00425E58">
            <w:pPr>
              <w:jc w:val="right"/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>54</w:t>
            </w:r>
            <w:r w:rsidR="00C92F9E"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DDEB" w14:textId="77777777" w:rsidR="00722105" w:rsidRDefault="00722105">
            <w:pPr>
              <w:jc w:val="right"/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444444"/>
                <w:sz w:val="20"/>
                <w:szCs w:val="20"/>
                <w:lang w:val="ro-RO"/>
              </w:rPr>
              <w:t xml:space="preserve">0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66658" w14:textId="6FC09CD2" w:rsidR="00722105" w:rsidRDefault="00A30319">
            <w:pPr>
              <w:spacing w:after="120"/>
              <w:jc w:val="right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54</w:t>
            </w:r>
            <w:r w:rsidR="00C92F9E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6624418F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 w:eastAsia="en-GB"/>
        </w:rPr>
      </w:pPr>
    </w:p>
    <w:p w14:paraId="17F3EF95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</w:p>
    <w:p w14:paraId="043AD870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</w:p>
    <w:p w14:paraId="608DE1BB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</w:p>
    <w:p w14:paraId="3E19A0BF" w14:textId="77777777" w:rsidR="00722105" w:rsidRDefault="00722105" w:rsidP="00722105">
      <w:pPr>
        <w:jc w:val="center"/>
        <w:rPr>
          <w:b/>
          <w:noProof/>
          <w:sz w:val="20"/>
          <w:szCs w:val="20"/>
          <w:lang w:val="ro-RO"/>
        </w:rPr>
      </w:pP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717"/>
        <w:gridCol w:w="1091"/>
        <w:gridCol w:w="3668"/>
      </w:tblGrid>
      <w:tr w:rsidR="00722105" w14:paraId="09EB9F50" w14:textId="77777777" w:rsidTr="00722105">
        <w:trPr>
          <w:trHeight w:val="489"/>
        </w:trPr>
        <w:tc>
          <w:tcPr>
            <w:tcW w:w="923" w:type="dxa"/>
            <w:noWrap/>
            <w:vAlign w:val="center"/>
            <w:hideMark/>
          </w:tcPr>
          <w:p w14:paraId="783882BF" w14:textId="77777777" w:rsidR="00722105" w:rsidRDefault="00722105">
            <w:pPr>
              <w:rPr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AFCBE8B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noWrap/>
            <w:vAlign w:val="bottom"/>
            <w:hideMark/>
          </w:tcPr>
          <w:p w14:paraId="3D26965D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14:paraId="0C634CA6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  <w:hideMark/>
          </w:tcPr>
          <w:p w14:paraId="58802E21" w14:textId="77777777" w:rsidR="00722105" w:rsidRDefault="00722105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vAlign w:val="bottom"/>
            <w:hideMark/>
          </w:tcPr>
          <w:p w14:paraId="4876A02C" w14:textId="77777777" w:rsidR="00722105" w:rsidRDefault="00722105">
            <w:pPr>
              <w:rPr>
                <w:sz w:val="20"/>
                <w:szCs w:val="20"/>
              </w:rPr>
            </w:pPr>
          </w:p>
        </w:tc>
      </w:tr>
    </w:tbl>
    <w:p w14:paraId="2F4B860C" w14:textId="77777777" w:rsidR="00722105" w:rsidRDefault="00722105" w:rsidP="00722105">
      <w:pPr>
        <w:rPr>
          <w:noProof/>
          <w:lang w:val="ro-RO" w:eastAsia="en-GB"/>
        </w:rPr>
      </w:pPr>
      <w:r>
        <w:rPr>
          <w:noProof/>
          <w:lang w:val="ro-RO"/>
        </w:rPr>
        <w:br w:type="page"/>
      </w: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717"/>
        <w:gridCol w:w="1091"/>
        <w:gridCol w:w="1301"/>
        <w:gridCol w:w="2367"/>
      </w:tblGrid>
      <w:tr w:rsidR="00722105" w14:paraId="23D9F495" w14:textId="77777777" w:rsidTr="00722105">
        <w:trPr>
          <w:trHeight w:val="575"/>
        </w:trPr>
        <w:tc>
          <w:tcPr>
            <w:tcW w:w="923" w:type="dxa"/>
            <w:noWrap/>
            <w:vAlign w:val="center"/>
            <w:hideMark/>
          </w:tcPr>
          <w:p w14:paraId="7F6246DC" w14:textId="77777777" w:rsidR="00722105" w:rsidRDefault="00722105">
            <w:pPr>
              <w:rPr>
                <w:noProof/>
                <w:lang w:val="ro-RO" w:eastAsia="en-GB"/>
              </w:rPr>
            </w:pPr>
          </w:p>
        </w:tc>
        <w:tc>
          <w:tcPr>
            <w:tcW w:w="8990" w:type="dxa"/>
            <w:gridSpan w:val="6"/>
            <w:vAlign w:val="center"/>
            <w:hideMark/>
          </w:tcPr>
          <w:p w14:paraId="78455137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Anexa nr. 4 la procedura-cadru         </w:t>
            </w:r>
          </w:p>
          <w:p w14:paraId="1649AF62" w14:textId="77777777" w:rsidR="00722105" w:rsidRDefault="00722105">
            <w:pPr>
              <w:jc w:val="right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Structura plângerilor în funcţie de categorie, concluzia analizei şi respectarea termenului legal</w:t>
            </w:r>
          </w:p>
        </w:tc>
      </w:tr>
      <w:tr w:rsidR="00722105" w14:paraId="721D9D4F" w14:textId="77777777" w:rsidTr="00722105">
        <w:trPr>
          <w:trHeight w:val="848"/>
        </w:trPr>
        <w:tc>
          <w:tcPr>
            <w:tcW w:w="923" w:type="dxa"/>
            <w:vAlign w:val="center"/>
            <w:hideMark/>
          </w:tcPr>
          <w:p w14:paraId="7B88B185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60F40C3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93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2346602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Categorie plângeri</w:t>
            </w:r>
          </w:p>
        </w:tc>
        <w:tc>
          <w:tcPr>
            <w:tcW w:w="3109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F3A4D8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plângeri</w:t>
            </w:r>
          </w:p>
        </w:tc>
        <w:tc>
          <w:tcPr>
            <w:tcW w:w="2367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ABCA548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Plângeri nerezolvate în termen din total plângeri (%)</w:t>
            </w:r>
          </w:p>
        </w:tc>
      </w:tr>
      <w:tr w:rsidR="00722105" w14:paraId="29C6476B" w14:textId="77777777" w:rsidTr="00722105">
        <w:trPr>
          <w:trHeight w:val="1021"/>
        </w:trPr>
        <w:tc>
          <w:tcPr>
            <w:tcW w:w="923" w:type="dxa"/>
            <w:vAlign w:val="center"/>
            <w:hideMark/>
          </w:tcPr>
          <w:p w14:paraId="7528DDF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D7B607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6F0308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D4379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65E5CA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Rezolvate în termenul legal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2D3DDD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Nerezolvate în termenul legal</w:t>
            </w: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AB2C11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</w:tr>
      <w:tr w:rsidR="00722105" w14:paraId="4B5C6879" w14:textId="77777777" w:rsidTr="00722105">
        <w:trPr>
          <w:trHeight w:val="301"/>
        </w:trPr>
        <w:tc>
          <w:tcPr>
            <w:tcW w:w="923" w:type="dxa"/>
            <w:vAlign w:val="center"/>
            <w:hideMark/>
          </w:tcPr>
          <w:p w14:paraId="36AE9309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4B9ED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190DB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Contractarea energiei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2F47F7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E8DAE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2363E1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EBB87F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5B458123" w14:textId="77777777" w:rsidTr="00722105">
        <w:trPr>
          <w:trHeight w:val="589"/>
        </w:trPr>
        <w:tc>
          <w:tcPr>
            <w:tcW w:w="923" w:type="dxa"/>
            <w:vAlign w:val="center"/>
            <w:hideMark/>
          </w:tcPr>
          <w:p w14:paraId="3320BDF4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A2404D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2DBA09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Facturarea contravalorii energiei furnizate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EABFEC4" w14:textId="49D263B6" w:rsidR="00722105" w:rsidRDefault="0023438A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14</w:t>
            </w:r>
            <w:r w:rsidR="00722105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7599D78" w14:textId="78B3B6B5" w:rsidR="00722105" w:rsidRDefault="00C92F9E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="00722105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  <w:r w:rsidR="007C633F">
              <w:rPr>
                <w:noProof/>
                <w:color w:val="000000"/>
                <w:sz w:val="20"/>
                <w:szCs w:val="20"/>
                <w:lang w:val="ro-RO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FAA62A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C55B1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1AF1C7D4" w14:textId="77777777" w:rsidTr="00722105">
        <w:trPr>
          <w:trHeight w:val="301"/>
        </w:trPr>
        <w:tc>
          <w:tcPr>
            <w:tcW w:w="923" w:type="dxa"/>
            <w:vAlign w:val="center"/>
            <w:hideMark/>
          </w:tcPr>
          <w:p w14:paraId="1478037E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2AC23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2691F08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Ofertarea de preţuri şi tarife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D83D1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AC6443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8F2E0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AE6FFD7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059A5CE2" w14:textId="77777777" w:rsidTr="00722105">
        <w:trPr>
          <w:trHeight w:val="589"/>
        </w:trPr>
        <w:tc>
          <w:tcPr>
            <w:tcW w:w="923" w:type="dxa"/>
            <w:vAlign w:val="center"/>
            <w:hideMark/>
          </w:tcPr>
          <w:p w14:paraId="488BD8FF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10855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D7C76C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Continuitatea în alimentarea cu energie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0A6742" w14:textId="11863F1F" w:rsidR="00722105" w:rsidRDefault="0023438A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32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3280D8C" w14:textId="128FE50B" w:rsidR="00722105" w:rsidRDefault="007C633F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9C5AAC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4F55C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407500E0" w14:textId="77777777" w:rsidTr="00722105">
        <w:trPr>
          <w:trHeight w:val="589"/>
        </w:trPr>
        <w:tc>
          <w:tcPr>
            <w:tcW w:w="923" w:type="dxa"/>
            <w:vAlign w:val="center"/>
            <w:hideMark/>
          </w:tcPr>
          <w:p w14:paraId="0DE9F650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9B14F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80CAAF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Asigurarea calităţii energiei furnizate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EC6BD3" w14:textId="663046E6" w:rsidR="00722105" w:rsidRDefault="0023438A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F145BB" w14:textId="21753AA9" w:rsidR="00722105" w:rsidRDefault="007C633F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50D0D19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BC3CC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4CC0F696" w14:textId="77777777" w:rsidTr="00722105">
        <w:trPr>
          <w:trHeight w:val="589"/>
        </w:trPr>
        <w:tc>
          <w:tcPr>
            <w:tcW w:w="923" w:type="dxa"/>
            <w:vAlign w:val="center"/>
            <w:hideMark/>
          </w:tcPr>
          <w:p w14:paraId="63AF7600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4EDC07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5BE650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Funcţionarea grupurilor de măsurare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9F68E0" w14:textId="76F2B2DA" w:rsidR="00722105" w:rsidRDefault="00D345BC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  <w:r w:rsidR="00C92F9E"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B871CBB" w14:textId="21778287" w:rsidR="00722105" w:rsidRDefault="00D345BC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663D7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504702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708F0470" w14:textId="77777777" w:rsidTr="00722105">
        <w:trPr>
          <w:trHeight w:val="589"/>
        </w:trPr>
        <w:tc>
          <w:tcPr>
            <w:tcW w:w="923" w:type="dxa"/>
            <w:vAlign w:val="center"/>
            <w:hideMark/>
          </w:tcPr>
          <w:p w14:paraId="21C0B0AF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46FB65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273904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Acordarea dreptului de schimbare a furnizorului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9C33AE0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B676D9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FFA23A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364F5A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4D28D1A4" w14:textId="77777777" w:rsidTr="00722105">
        <w:trPr>
          <w:trHeight w:val="978"/>
        </w:trPr>
        <w:tc>
          <w:tcPr>
            <w:tcW w:w="923" w:type="dxa"/>
            <w:vAlign w:val="center"/>
            <w:hideMark/>
          </w:tcPr>
          <w:p w14:paraId="39AA273C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FB00E0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016E53B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Informarea clienţilor finali în conformitate cu cerinţele legislaţiei în vigoare;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64D53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553F9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75EADC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FBFD3B0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774C9648" w14:textId="77777777" w:rsidTr="00722105">
        <w:trPr>
          <w:trHeight w:val="1107"/>
        </w:trPr>
        <w:tc>
          <w:tcPr>
            <w:tcW w:w="923" w:type="dxa"/>
            <w:vAlign w:val="center"/>
            <w:hideMark/>
          </w:tcPr>
          <w:p w14:paraId="31FF5E17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CC96635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562CE87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99F19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D76621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760C7B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3C9945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5A71C3C6" w14:textId="77777777" w:rsidTr="00722105">
        <w:trPr>
          <w:trHeight w:val="662"/>
        </w:trPr>
        <w:tc>
          <w:tcPr>
            <w:tcW w:w="923" w:type="dxa"/>
            <w:vAlign w:val="center"/>
            <w:hideMark/>
          </w:tcPr>
          <w:p w14:paraId="502E4FB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B4767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532B24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altor plângeri ale clienţilor finali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EDA329" w14:textId="0C3C2CEF" w:rsidR="00722105" w:rsidRDefault="00D345BC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992840" w14:textId="0A08274A" w:rsidR="00722105" w:rsidRDefault="00D345BC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DA9D63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78D152A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580133D7" w14:textId="77777777" w:rsidTr="00722105">
        <w:trPr>
          <w:trHeight w:val="301"/>
        </w:trPr>
        <w:tc>
          <w:tcPr>
            <w:tcW w:w="923" w:type="dxa"/>
            <w:vAlign w:val="center"/>
            <w:hideMark/>
          </w:tcPr>
          <w:p w14:paraId="597062C3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89B8E4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TOTAL: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86EBCE" w14:textId="16F0BDCA" w:rsidR="00722105" w:rsidRDefault="00C92F9E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1103AC" w14:textId="1CFEDCE6" w:rsidR="00722105" w:rsidRDefault="00C92F9E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FC69C0C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5D6BE6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4C496327" w14:textId="77777777" w:rsidTr="00722105">
        <w:trPr>
          <w:trHeight w:val="575"/>
        </w:trPr>
        <w:tc>
          <w:tcPr>
            <w:tcW w:w="923" w:type="dxa"/>
            <w:vAlign w:val="center"/>
            <w:hideMark/>
          </w:tcPr>
          <w:p w14:paraId="412E9E6A" w14:textId="77777777" w:rsidR="00722105" w:rsidRDefault="00722105">
            <w:pPr>
              <w:rPr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802425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din care: întemeiate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F77EE7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CC2721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05F434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765936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72CE45DC" w14:textId="77777777" w:rsidTr="00722105">
        <w:trPr>
          <w:trHeight w:val="301"/>
        </w:trPr>
        <w:tc>
          <w:tcPr>
            <w:tcW w:w="923" w:type="dxa"/>
            <w:vAlign w:val="center"/>
            <w:hideMark/>
          </w:tcPr>
          <w:p w14:paraId="366DB6CB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0A6B9B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neîntemeiate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CCED553" w14:textId="5F7B78FA" w:rsidR="00722105" w:rsidRDefault="0023438A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54</w:t>
            </w:r>
            <w:r w:rsidR="00C92F9E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DABDF2" w14:textId="1F5744B8" w:rsidR="00722105" w:rsidRDefault="0023438A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54</w:t>
            </w:r>
            <w:r w:rsidR="00C92F9E"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B5E33A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DAFAA4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  <w:tr w:rsidR="00722105" w14:paraId="00D254F1" w14:textId="77777777" w:rsidTr="00722105">
        <w:trPr>
          <w:trHeight w:val="301"/>
        </w:trPr>
        <w:tc>
          <w:tcPr>
            <w:tcW w:w="923" w:type="dxa"/>
            <w:vAlign w:val="center"/>
            <w:hideMark/>
          </w:tcPr>
          <w:p w14:paraId="6E5AF26B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12E97C" w14:textId="77777777" w:rsidR="00722105" w:rsidRDefault="00722105">
            <w:pPr>
              <w:rPr>
                <w:b/>
                <w:bCs/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nesoluţionabile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940235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255BA9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33A22E9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5A072F" w14:textId="77777777" w:rsidR="00722105" w:rsidRDefault="00722105">
            <w:pPr>
              <w:jc w:val="center"/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val="ro-RO"/>
              </w:rPr>
              <w:t>0</w:t>
            </w:r>
          </w:p>
        </w:tc>
      </w:tr>
    </w:tbl>
    <w:p w14:paraId="2011643D" w14:textId="77777777" w:rsidR="00722105" w:rsidRDefault="00722105" w:rsidP="00722105">
      <w:r>
        <w:br w:type="page"/>
      </w:r>
    </w:p>
    <w:p w14:paraId="563F44F6" w14:textId="77777777" w:rsidR="00722105" w:rsidRDefault="00722105" w:rsidP="00722105">
      <w:pPr>
        <w:rPr>
          <w:lang w:eastAsia="en-GB"/>
        </w:rPr>
      </w:pPr>
    </w:p>
    <w:p w14:paraId="54457DAD" w14:textId="77777777" w:rsidR="00722105" w:rsidRDefault="00722105" w:rsidP="00722105">
      <w:pPr>
        <w:jc w:val="right"/>
        <w:rPr>
          <w:lang w:eastAsia="en-GB"/>
        </w:rPr>
      </w:pPr>
      <w:r>
        <w:rPr>
          <w:noProof/>
          <w:color w:val="000000"/>
          <w:sz w:val="20"/>
          <w:szCs w:val="20"/>
          <w:lang w:val="ro-RO"/>
        </w:rPr>
        <w:t>Anexa nr. 5 la procedura-cadru: Sinteza modului de soluţionare şi măsurile corective aferente categoriilor de plângeri</w:t>
      </w:r>
    </w:p>
    <w:tbl>
      <w:tblPr>
        <w:tblW w:w="10595" w:type="dxa"/>
        <w:tblInd w:w="-753" w:type="dxa"/>
        <w:tblLook w:val="04A0" w:firstRow="1" w:lastRow="0" w:firstColumn="1" w:lastColumn="0" w:noHBand="0" w:noVBand="1"/>
      </w:tblPr>
      <w:tblGrid>
        <w:gridCol w:w="885"/>
        <w:gridCol w:w="2115"/>
        <w:gridCol w:w="4350"/>
        <w:gridCol w:w="3245"/>
      </w:tblGrid>
      <w:tr w:rsidR="00722105" w14:paraId="628821D3" w14:textId="77777777" w:rsidTr="00722105">
        <w:trPr>
          <w:trHeight w:val="226"/>
          <w:tblHeader/>
        </w:trPr>
        <w:tc>
          <w:tcPr>
            <w:tcW w:w="88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08F33203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 w:eastAsia="en-GB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11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4D26099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Categorie plângeri</w:t>
            </w:r>
          </w:p>
        </w:tc>
        <w:tc>
          <w:tcPr>
            <w:tcW w:w="43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45D0C0AC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Sinteza modului de soluţionare</w:t>
            </w:r>
          </w:p>
        </w:tc>
        <w:tc>
          <w:tcPr>
            <w:tcW w:w="324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47C6052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Măsuri corective</w:t>
            </w:r>
          </w:p>
        </w:tc>
      </w:tr>
      <w:tr w:rsidR="00722105" w14:paraId="569C8F17" w14:textId="77777777" w:rsidTr="00722105">
        <w:trPr>
          <w:trHeight w:val="647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1B867532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04AB4F7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Contractarea energiei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D0D2B3E" w14:textId="77777777" w:rsidR="00722105" w:rsidRDefault="00722105">
            <w:pPr>
              <w:jc w:val="both"/>
              <w:rPr>
                <w:caps/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D40B641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</w:tr>
      <w:tr w:rsidR="00722105" w14:paraId="1E03514D" w14:textId="77777777" w:rsidTr="00722105">
        <w:trPr>
          <w:trHeight w:val="1166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4F2A3707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18DE0EF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Facturarea contravalorii energiei furnizate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5AFAFF0C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Solicitǎri de clarificǎri către operatorii de distribuție și verificări în cadrul societății Energy Distribution Services S.R.L.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A176179" w14:textId="57B3C169" w:rsidR="00722105" w:rsidRDefault="0009189E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E</w:t>
            </w:r>
            <w:r w:rsidR="00722105">
              <w:rPr>
                <w:noProof/>
                <w:color w:val="000000"/>
                <w:sz w:val="20"/>
                <w:szCs w:val="20"/>
                <w:lang w:val="ro-RO"/>
              </w:rPr>
              <w:t xml:space="preserve">xplicaţii privind modul de facturare al energiei reactive, clarificări privind cuantumul şi temeiul penalităţilor de întârziere facturate, </w:t>
            </w:r>
            <w:r>
              <w:rPr>
                <w:noProof/>
                <w:color w:val="000000"/>
                <w:sz w:val="20"/>
                <w:szCs w:val="20"/>
                <w:lang w:val="ro-RO"/>
              </w:rPr>
              <w:t>explicarea temeiului recalculărilor consumului de energie electrică, solicitări de verificare a indecşilor pe teren pentru regularizarea cantităţilor estimate de energie electrică</w:t>
            </w:r>
          </w:p>
        </w:tc>
      </w:tr>
      <w:tr w:rsidR="00722105" w14:paraId="677F974F" w14:textId="77777777" w:rsidTr="00722105">
        <w:trPr>
          <w:trHeight w:val="748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0052B17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F70034A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Ofertarea de preţuri şi tarife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73B29E5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3C2E95F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</w:tr>
      <w:tr w:rsidR="00722105" w14:paraId="253AC954" w14:textId="77777777" w:rsidTr="00722105">
        <w:trPr>
          <w:trHeight w:val="1074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hideMark/>
          </w:tcPr>
          <w:p w14:paraId="24DC9B93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3E492321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Continuitatea în alimentarea cu energie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16D582D5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Înregistrarea telefonică a întreruperilor neprogramate în alimentarea cu energie electrică la serviciul de call-center a operatorilor de distribuţie, urmărirea restabilirii alimentării cu energie conform legislației în vigoare, solicitarea de explicaţii de la operatorii de distribuţie privind cauzele întreruperilor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1808D0B1" w14:textId="71C02FE6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Transmiterea de solicitǎri cǎtre operatorii de distribuţie pentru</w:t>
            </w:r>
            <w:r w:rsidR="0009189E">
              <w:rPr>
                <w:noProof/>
                <w:color w:val="000000"/>
                <w:sz w:val="20"/>
                <w:szCs w:val="20"/>
                <w:lang w:val="ro-RO"/>
              </w:rPr>
              <w:t xml:space="preserve"> explicaţii privind cauzele întreruperilor în alimentarea cu energie electrică</w:t>
            </w:r>
            <w:r w:rsidR="00EB2E90">
              <w:rPr>
                <w:noProof/>
                <w:color w:val="000000"/>
                <w:sz w:val="20"/>
                <w:szCs w:val="20"/>
                <w:lang w:val="ro-RO"/>
              </w:rPr>
              <w:t>, explicarea modalităţii de acordare de despăgubiri de operatorul de distribuţie pentru întreruperile în alimentarea cu enegie electrică, comunicarea termenului reglementat pentru remedierea întreruperilor</w:t>
            </w:r>
            <w:r w:rsidR="0009189E">
              <w:rPr>
                <w:noProof/>
                <w:color w:val="000000"/>
                <w:sz w:val="20"/>
                <w:szCs w:val="20"/>
                <w:lang w:val="ro-RO"/>
              </w:rPr>
              <w:t xml:space="preserve"> şi </w:t>
            </w: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comunicarea planurilor de investiţii avute de vedere </w:t>
            </w:r>
            <w:r w:rsidR="0009189E">
              <w:rPr>
                <w:noProof/>
                <w:color w:val="000000"/>
                <w:sz w:val="20"/>
                <w:szCs w:val="20"/>
                <w:lang w:val="ro-RO"/>
              </w:rPr>
              <w:t xml:space="preserve">de operatorii de distribuţie </w:t>
            </w:r>
            <w:r>
              <w:rPr>
                <w:noProof/>
                <w:color w:val="000000"/>
                <w:sz w:val="20"/>
                <w:szCs w:val="20"/>
                <w:lang w:val="ro-RO"/>
              </w:rPr>
              <w:t>pentru evitarea întreruperilor în alimentarea cu energie electricǎ</w:t>
            </w:r>
          </w:p>
        </w:tc>
      </w:tr>
      <w:tr w:rsidR="00722105" w14:paraId="7AD354CB" w14:textId="77777777" w:rsidTr="00722105">
        <w:trPr>
          <w:trHeight w:val="5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69BD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69C6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Asigurarea calităţii energiei furnizate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346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Transmiterea către operatorii de distribuţie de explicaţii privind calitatea curbei de tensiune şi de solicitări privind monitorizarea principalilor parametri de calitate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0EF3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Transmiterea de solicitǎri cǎtre operatorii de distribuţie pentru montarea de analizatoare de calitate şi analiza rezultatelor monitorizării  </w:t>
            </w:r>
          </w:p>
        </w:tc>
      </w:tr>
      <w:tr w:rsidR="00722105" w14:paraId="16882CA0" w14:textId="77777777" w:rsidTr="00722105">
        <w:trPr>
          <w:trHeight w:val="7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EBC1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1645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Funcţionarea grupurilor de măsurare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AA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Intervenții scrise către operatorii de distribuție în vederea verificării grupurilor de măsurare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A1E2" w14:textId="478B840F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Transmiterea de solicitǎri cǎtre operatorii de distribuţie pentru verificarea grupurilor de măsurare a energiei electrice pe teren şi de remediere a telecitirii</w:t>
            </w:r>
            <w:r w:rsidR="00C90837">
              <w:rPr>
                <w:noProof/>
                <w:color w:val="000000"/>
                <w:sz w:val="20"/>
                <w:szCs w:val="20"/>
                <w:lang w:val="ro-RO"/>
              </w:rPr>
              <w:t xml:space="preserve"> şi</w:t>
            </w:r>
            <w:r>
              <w:rPr>
                <w:noProof/>
                <w:color w:val="000000"/>
                <w:sz w:val="20"/>
                <w:szCs w:val="20"/>
                <w:lang w:val="ro-RO"/>
              </w:rPr>
              <w:t xml:space="preserve"> comunicarea </w:t>
            </w:r>
            <w:r w:rsidR="00C90837">
              <w:rPr>
                <w:noProof/>
                <w:color w:val="000000"/>
                <w:sz w:val="20"/>
                <w:szCs w:val="20"/>
                <w:lang w:val="ro-RO"/>
              </w:rPr>
              <w:t xml:space="preserve">documentelor întocmite de operatorul de distribuţie ca urmare a verificării grupurilor de mǎsurare pe teren </w:t>
            </w:r>
            <w:r>
              <w:rPr>
                <w:noProof/>
                <w:color w:val="000000"/>
                <w:sz w:val="20"/>
                <w:szCs w:val="20"/>
                <w:lang w:val="ro-RO"/>
              </w:rPr>
              <w:t>către clienţi</w:t>
            </w:r>
          </w:p>
        </w:tc>
      </w:tr>
      <w:tr w:rsidR="00722105" w14:paraId="0A8A7D76" w14:textId="77777777" w:rsidTr="00722105">
        <w:trPr>
          <w:trHeight w:val="727"/>
        </w:trPr>
        <w:tc>
          <w:tcPr>
            <w:tcW w:w="8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0124C195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A23213B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Acordarea dreptului de schimbare a furnizorului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0BEC5CD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1B7281C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</w:tr>
      <w:tr w:rsidR="00722105" w14:paraId="212684F2" w14:textId="77777777" w:rsidTr="00722105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DFBCFA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405B7924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Informarea clienţilor finali în conformitate cu cerinţele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0432AA1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BC72013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</w:tr>
      <w:tr w:rsidR="00722105" w14:paraId="30020997" w14:textId="77777777" w:rsidTr="00722105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5DC6FE1F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60FCCAB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72B9B0F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EE8473E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Nu este cazul (nu au existat plângeri ale clienţilor finali de energie electrică privind această categorie).</w:t>
            </w:r>
          </w:p>
        </w:tc>
      </w:tr>
      <w:tr w:rsidR="00722105" w14:paraId="0B952ABB" w14:textId="77777777" w:rsidTr="00722105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5936A744" w14:textId="77777777" w:rsidR="00722105" w:rsidRDefault="00722105">
            <w:pPr>
              <w:jc w:val="center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0BBCB80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Rezolvarea altor plângeri ale clienţilor finali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5F7AA146" w14:textId="77777777" w:rsidR="00722105" w:rsidRDefault="00722105">
            <w:pPr>
              <w:jc w:val="both"/>
              <w:rPr>
                <w:noProof/>
                <w:color w:val="000000"/>
                <w:sz w:val="20"/>
                <w:szCs w:val="20"/>
                <w:lang w:val="ro-RO"/>
              </w:rPr>
            </w:pPr>
            <w:r>
              <w:rPr>
                <w:noProof/>
                <w:color w:val="000000"/>
                <w:sz w:val="20"/>
                <w:szCs w:val="20"/>
                <w:lang w:val="ro-RO"/>
              </w:rPr>
              <w:t>Intervenții scrise / e-mail  către operatorii de distribuție şi informarea clienţilor finali privind legislaţia în vigoare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E89E7F9" w14:textId="133A79A4" w:rsidR="00722105" w:rsidRDefault="00D345BC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Solicitări de clarificări către operatorii de distribuţie privind perioadele de citire a contoarelor pe teren, solicitare  </w:t>
            </w:r>
            <w:r>
              <w:rPr>
                <w:noProof/>
                <w:color w:val="000000"/>
                <w:sz w:val="20"/>
                <w:szCs w:val="20"/>
              </w:rPr>
              <w:t>către operato</w:t>
            </w:r>
            <w:r>
              <w:rPr>
                <w:noProof/>
                <w:color w:val="000000"/>
                <w:sz w:val="20"/>
                <w:szCs w:val="20"/>
              </w:rPr>
              <w:t xml:space="preserve">rul </w:t>
            </w:r>
            <w:r>
              <w:rPr>
                <w:noProof/>
                <w:color w:val="000000"/>
                <w:sz w:val="20"/>
                <w:szCs w:val="20"/>
              </w:rPr>
              <w:t>de distribuţie</w:t>
            </w:r>
            <w:r>
              <w:rPr>
                <w:noProof/>
                <w:color w:val="000000"/>
                <w:sz w:val="20"/>
                <w:szCs w:val="20"/>
              </w:rPr>
              <w:t xml:space="preserve"> privind corespondenţa între documentele de racordare şi decontarea consumului de energie electrică, solicitări de verificare racordare pe teren</w:t>
            </w:r>
          </w:p>
        </w:tc>
      </w:tr>
    </w:tbl>
    <w:p w14:paraId="7494F15E" w14:textId="77777777" w:rsidR="00722105" w:rsidRDefault="00722105" w:rsidP="00722105">
      <w:pPr>
        <w:jc w:val="both"/>
        <w:rPr>
          <w:noProof/>
          <w:color w:val="000000"/>
          <w:sz w:val="20"/>
          <w:szCs w:val="20"/>
          <w:lang w:val="ro-RO" w:eastAsia="en-GB"/>
        </w:rPr>
      </w:pPr>
    </w:p>
    <w:p w14:paraId="10FC8E26" w14:textId="77777777" w:rsidR="00722105" w:rsidRDefault="00722105" w:rsidP="00722105">
      <w:pPr>
        <w:jc w:val="both"/>
        <w:rPr>
          <w:noProof/>
          <w:color w:val="000000"/>
          <w:sz w:val="20"/>
          <w:szCs w:val="20"/>
          <w:lang w:val="ro-RO"/>
        </w:rPr>
      </w:pPr>
      <w:r>
        <w:rPr>
          <w:noProof/>
          <w:color w:val="000000"/>
          <w:sz w:val="20"/>
          <w:szCs w:val="20"/>
          <w:lang w:val="ro-RO"/>
        </w:rPr>
        <w:t xml:space="preserve"> </w:t>
      </w:r>
    </w:p>
    <w:p w14:paraId="43E609F7" w14:textId="77777777" w:rsidR="00722105" w:rsidRDefault="00722105" w:rsidP="00722105">
      <w:pPr>
        <w:jc w:val="both"/>
        <w:rPr>
          <w:noProof/>
          <w:color w:val="000000"/>
          <w:sz w:val="20"/>
          <w:szCs w:val="20"/>
          <w:lang w:val="ro-RO"/>
        </w:rPr>
      </w:pPr>
    </w:p>
    <w:p w14:paraId="6B19317A" w14:textId="77777777" w:rsidR="00722105" w:rsidRDefault="00722105" w:rsidP="00722105"/>
    <w:p w14:paraId="408C12FA" w14:textId="77777777" w:rsidR="00722105" w:rsidRDefault="00722105" w:rsidP="00722105">
      <w:pPr>
        <w:jc w:val="both"/>
        <w:rPr>
          <w:rFonts w:eastAsia="Times New Roman"/>
          <w:sz w:val="20"/>
          <w:szCs w:val="20"/>
        </w:rPr>
      </w:pPr>
      <w:r>
        <w:rPr>
          <w:rFonts w:eastAsia="Calibri"/>
          <w:b/>
          <w:noProof/>
          <w:sz w:val="20"/>
          <w:szCs w:val="20"/>
          <w:lang w:val="ro-RO"/>
        </w:rPr>
        <w:t xml:space="preserve"> </w:t>
      </w:r>
    </w:p>
    <w:p w14:paraId="2BAE4CE6" w14:textId="0206142A" w:rsidR="002D3E53" w:rsidRPr="00722105" w:rsidRDefault="002D3E53" w:rsidP="00722105"/>
    <w:sectPr w:rsidR="002D3E53" w:rsidRPr="00722105" w:rsidSect="0000141C">
      <w:headerReference w:type="default" r:id="rId6"/>
      <w:footerReference w:type="default" r:id="rId7"/>
      <w:pgSz w:w="11906" w:h="16838"/>
      <w:pgMar w:top="1440" w:right="1440" w:bottom="1440" w:left="1440" w:header="1296" w:footer="1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97BE" w14:textId="77777777" w:rsidR="00C5767D" w:rsidRDefault="00C5767D" w:rsidP="00851FED">
      <w:r>
        <w:separator/>
      </w:r>
    </w:p>
  </w:endnote>
  <w:endnote w:type="continuationSeparator" w:id="0">
    <w:p w14:paraId="63F7537F" w14:textId="77777777" w:rsidR="00C5767D" w:rsidRDefault="00C5767D" w:rsidP="008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C244" w14:textId="48E0D176" w:rsidR="00C31F03" w:rsidRDefault="00521D11" w:rsidP="0000141C">
    <w:pPr>
      <w:pStyle w:val="Footer"/>
      <w:tabs>
        <w:tab w:val="clear" w:pos="9026"/>
      </w:tabs>
      <w:ind w:right="-1440"/>
    </w:pPr>
    <w:r>
      <w:t xml:space="preserve">                                                </w:t>
    </w:r>
    <w:r w:rsidR="00C31F03">
      <w:t xml:space="preserve">          </w:t>
    </w:r>
  </w:p>
  <w:p w14:paraId="7553EBB3" w14:textId="546C6601" w:rsidR="00521D11" w:rsidRDefault="00C31F03" w:rsidP="00CE2DB7">
    <w:pPr>
      <w:pStyle w:val="Footer"/>
      <w:tabs>
        <w:tab w:val="clear" w:pos="9026"/>
      </w:tabs>
      <w:ind w:left="-1418" w:right="-1440" w:firstLine="1"/>
    </w:pPr>
    <w: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698B" w14:textId="77777777" w:rsidR="00C5767D" w:rsidRDefault="00C5767D" w:rsidP="00851FED">
      <w:r>
        <w:separator/>
      </w:r>
    </w:p>
  </w:footnote>
  <w:footnote w:type="continuationSeparator" w:id="0">
    <w:p w14:paraId="3E05D75F" w14:textId="77777777" w:rsidR="00C5767D" w:rsidRDefault="00C5767D" w:rsidP="0085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393" w14:textId="47022865" w:rsidR="00851FED" w:rsidRDefault="00851FED" w:rsidP="00851FED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ED"/>
    <w:rsid w:val="0000141C"/>
    <w:rsid w:val="0009189E"/>
    <w:rsid w:val="001F27E9"/>
    <w:rsid w:val="0023438A"/>
    <w:rsid w:val="002D3E53"/>
    <w:rsid w:val="002E616E"/>
    <w:rsid w:val="00331AF5"/>
    <w:rsid w:val="00340CD3"/>
    <w:rsid w:val="00425E58"/>
    <w:rsid w:val="004A24FF"/>
    <w:rsid w:val="004B3F03"/>
    <w:rsid w:val="00521D11"/>
    <w:rsid w:val="00555A5F"/>
    <w:rsid w:val="00591005"/>
    <w:rsid w:val="005B053F"/>
    <w:rsid w:val="007179A3"/>
    <w:rsid w:val="00722105"/>
    <w:rsid w:val="00733FF9"/>
    <w:rsid w:val="007C633F"/>
    <w:rsid w:val="00851FED"/>
    <w:rsid w:val="00861BCA"/>
    <w:rsid w:val="0086574C"/>
    <w:rsid w:val="00A30319"/>
    <w:rsid w:val="00B1089D"/>
    <w:rsid w:val="00C31F03"/>
    <w:rsid w:val="00C5767D"/>
    <w:rsid w:val="00C90837"/>
    <w:rsid w:val="00C92F9E"/>
    <w:rsid w:val="00CE2DB7"/>
    <w:rsid w:val="00D345BC"/>
    <w:rsid w:val="00D960E4"/>
    <w:rsid w:val="00DF32A4"/>
    <w:rsid w:val="00E867D5"/>
    <w:rsid w:val="00EB2E90"/>
    <w:rsid w:val="00EB3B58"/>
    <w:rsid w:val="00F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92CBB"/>
  <w15:chartTrackingRefBased/>
  <w15:docId w15:val="{2999C438-BB9B-A648-AFED-223E090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ED"/>
  </w:style>
  <w:style w:type="paragraph" w:styleId="Footer">
    <w:name w:val="footer"/>
    <w:basedOn w:val="Normal"/>
    <w:link w:val="FooterChar"/>
    <w:uiPriority w:val="99"/>
    <w:unhideWhenUsed/>
    <w:rsid w:val="00851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ED"/>
  </w:style>
  <w:style w:type="paragraph" w:styleId="ListParagraph">
    <w:name w:val="List Paragraph"/>
    <w:basedOn w:val="Normal"/>
    <w:uiPriority w:val="34"/>
    <w:qFormat/>
    <w:rsid w:val="00340CD3"/>
    <w:pPr>
      <w:ind w:left="720"/>
    </w:pPr>
    <w:rPr>
      <w:rFonts w:ascii="Calibri" w:hAnsi="Calibri" w:cs="Calibri"/>
      <w:sz w:val="22"/>
      <w:szCs w:val="22"/>
      <w:lang w:val="ro-RO"/>
    </w:rPr>
  </w:style>
  <w:style w:type="paragraph" w:customStyle="1" w:styleId="Default">
    <w:name w:val="Default"/>
    <w:rsid w:val="00340CD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nhideWhenUsed/>
    <w:rsid w:val="00340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1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Negoita, Raluca (BCH-MEW)</dc:creator>
  <cp:keywords/>
  <dc:description/>
  <cp:lastModifiedBy>Mihaela Dascalu</cp:lastModifiedBy>
  <cp:revision>3</cp:revision>
  <cp:lastPrinted>2025-07-31T14:18:00Z</cp:lastPrinted>
  <dcterms:created xsi:type="dcterms:W3CDTF">2025-07-31T14:18:00Z</dcterms:created>
  <dcterms:modified xsi:type="dcterms:W3CDTF">2025-07-31T14:19:00Z</dcterms:modified>
</cp:coreProperties>
</file>