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3457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RAPORT</w:t>
      </w:r>
    </w:p>
    <w:p w14:paraId="2E84B337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privind activitatea de solutionare a plangerilor primite de la </w:t>
      </w:r>
    </w:p>
    <w:p w14:paraId="33DC1501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clientii finali  </w:t>
      </w:r>
    </w:p>
    <w:p w14:paraId="1D1EA0E8" w14:textId="73109118" w:rsidR="00F958C1" w:rsidRDefault="00F958C1" w:rsidP="00F958C1">
      <w:pPr>
        <w:jc w:val="center"/>
        <w:rPr>
          <w:b/>
          <w:bCs/>
          <w:noProof/>
          <w:color w:val="000000" w:themeColor="text1"/>
          <w:sz w:val="20"/>
          <w:szCs w:val="20"/>
          <w:lang w:val="ro-RO"/>
        </w:rPr>
      </w:pPr>
      <w:r>
        <w:rPr>
          <w:b/>
          <w:bCs/>
          <w:noProof/>
          <w:color w:val="000000" w:themeColor="text1"/>
          <w:sz w:val="20"/>
          <w:szCs w:val="20"/>
          <w:lang w:val="ro-RO"/>
        </w:rPr>
        <w:t xml:space="preserve">Perioada: semestrul </w:t>
      </w:r>
      <w:r w:rsidR="0047675B">
        <w:rPr>
          <w:b/>
          <w:bCs/>
          <w:noProof/>
          <w:color w:val="000000" w:themeColor="text1"/>
          <w:sz w:val="20"/>
          <w:szCs w:val="20"/>
          <w:lang w:val="ro-RO"/>
        </w:rPr>
        <w:t>I</w:t>
      </w:r>
      <w:r>
        <w:rPr>
          <w:b/>
          <w:bCs/>
          <w:noProof/>
          <w:color w:val="000000" w:themeColor="text1"/>
          <w:sz w:val="20"/>
          <w:szCs w:val="20"/>
          <w:lang w:val="ro-RO"/>
        </w:rPr>
        <w:t>I  an 2023</w:t>
      </w:r>
    </w:p>
    <w:p w14:paraId="3B0F9A15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p w14:paraId="6096DB23" w14:textId="77777777" w:rsidR="00F958C1" w:rsidRDefault="00F958C1" w:rsidP="00F958C1">
      <w:pPr>
        <w:jc w:val="center"/>
        <w:rPr>
          <w:noProof/>
          <w:color w:val="000000"/>
          <w:sz w:val="20"/>
          <w:szCs w:val="20"/>
          <w:lang w:val="ro-RO"/>
        </w:rPr>
      </w:pPr>
    </w:p>
    <w:p w14:paraId="1661C0CF" w14:textId="77777777" w:rsidR="00F958C1" w:rsidRDefault="00F958C1" w:rsidP="00F958C1">
      <w:pPr>
        <w:jc w:val="right"/>
        <w:rPr>
          <w:b/>
          <w:noProof/>
          <w:sz w:val="20"/>
          <w:szCs w:val="20"/>
          <w:lang w:val="ro-RO"/>
        </w:rPr>
      </w:pPr>
      <w:r>
        <w:rPr>
          <w:noProof/>
          <w:color w:val="000000"/>
          <w:sz w:val="20"/>
          <w:szCs w:val="20"/>
          <w:lang w:val="ro-RO"/>
        </w:rPr>
        <w:t>Anexa nr. 3 la procedura-cadru</w:t>
      </w: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567"/>
        <w:gridCol w:w="3685"/>
        <w:gridCol w:w="639"/>
        <w:gridCol w:w="1742"/>
        <w:gridCol w:w="2650"/>
      </w:tblGrid>
      <w:tr w:rsidR="007711F7" w14:paraId="72F3BF0D" w14:textId="77777777" w:rsidTr="007711F7">
        <w:trPr>
          <w:trHeight w:val="77"/>
        </w:trPr>
        <w:tc>
          <w:tcPr>
            <w:tcW w:w="567" w:type="dxa"/>
            <w:noWrap/>
            <w:hideMark/>
          </w:tcPr>
          <w:p w14:paraId="74D85684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14:paraId="2A7C05B5" w14:textId="77777777" w:rsidR="007711F7" w:rsidRDefault="007711F7">
            <w:pPr>
              <w:jc w:val="right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Structura plângerilor în funcţie de modul de preluare şi tipul clientului final</w:t>
            </w:r>
          </w:p>
        </w:tc>
      </w:tr>
      <w:tr w:rsidR="007711F7" w14:paraId="0006ADB9" w14:textId="77777777" w:rsidTr="007711F7">
        <w:trPr>
          <w:trHeight w:val="304"/>
        </w:trPr>
        <w:tc>
          <w:tcPr>
            <w:tcW w:w="567" w:type="dxa"/>
            <w:noWrap/>
            <w:hideMark/>
          </w:tcPr>
          <w:p w14:paraId="5CDD230E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noWrap/>
            <w:hideMark/>
          </w:tcPr>
          <w:p w14:paraId="2A96B158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hideMark/>
          </w:tcPr>
          <w:p w14:paraId="721E4DF7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noWrap/>
            <w:hideMark/>
          </w:tcPr>
          <w:p w14:paraId="0FA1E423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noWrap/>
            <w:hideMark/>
          </w:tcPr>
          <w:p w14:paraId="50B9B94D" w14:textId="77777777" w:rsidR="007711F7" w:rsidRDefault="007711F7">
            <w:pPr>
              <w:rPr>
                <w:sz w:val="20"/>
                <w:szCs w:val="20"/>
              </w:rPr>
            </w:pPr>
          </w:p>
        </w:tc>
      </w:tr>
      <w:tr w:rsidR="007711F7" w14:paraId="36954070" w14:textId="77777777" w:rsidTr="007711F7">
        <w:trPr>
          <w:trHeight w:val="304"/>
        </w:trPr>
        <w:tc>
          <w:tcPr>
            <w:tcW w:w="567" w:type="dxa"/>
            <w:vMerge w:val="restart"/>
            <w:hideMark/>
          </w:tcPr>
          <w:p w14:paraId="7BC17FAE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685" w:type="dxa"/>
            <w:vMerge w:val="restart"/>
            <w:hideMark/>
          </w:tcPr>
          <w:p w14:paraId="494C2DDF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Modul de preluare a plângerilor</w:t>
            </w:r>
          </w:p>
        </w:tc>
        <w:tc>
          <w:tcPr>
            <w:tcW w:w="5031" w:type="dxa"/>
            <w:gridSpan w:val="3"/>
            <w:hideMark/>
          </w:tcPr>
          <w:p w14:paraId="0A88A100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</w:tr>
      <w:tr w:rsidR="007711F7" w14:paraId="19308DE8" w14:textId="77777777" w:rsidTr="007711F7">
        <w:trPr>
          <w:trHeight w:val="304"/>
        </w:trPr>
        <w:tc>
          <w:tcPr>
            <w:tcW w:w="0" w:type="auto"/>
            <w:vMerge/>
            <w:hideMark/>
          </w:tcPr>
          <w:p w14:paraId="235DC960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hideMark/>
          </w:tcPr>
          <w:p w14:paraId="6003392C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639" w:type="dxa"/>
            <w:hideMark/>
          </w:tcPr>
          <w:p w14:paraId="76B529E4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742" w:type="dxa"/>
            <w:hideMark/>
          </w:tcPr>
          <w:p w14:paraId="1F151906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casnic</w:t>
            </w:r>
          </w:p>
        </w:tc>
        <w:tc>
          <w:tcPr>
            <w:tcW w:w="2650" w:type="dxa"/>
            <w:hideMark/>
          </w:tcPr>
          <w:p w14:paraId="076DC523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noncasnic</w:t>
            </w:r>
          </w:p>
        </w:tc>
      </w:tr>
      <w:tr w:rsidR="007711F7" w14:paraId="1F358999" w14:textId="77777777" w:rsidTr="007711F7">
        <w:trPr>
          <w:trHeight w:val="484"/>
        </w:trPr>
        <w:tc>
          <w:tcPr>
            <w:tcW w:w="567" w:type="dxa"/>
            <w:hideMark/>
          </w:tcPr>
          <w:p w14:paraId="5DAAE1B6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3685" w:type="dxa"/>
            <w:hideMark/>
          </w:tcPr>
          <w:p w14:paraId="7FA1E08D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Depunere în scris la punctele unice de contact ale furnizorilor</w:t>
            </w:r>
          </w:p>
        </w:tc>
        <w:tc>
          <w:tcPr>
            <w:tcW w:w="639" w:type="dxa"/>
            <w:hideMark/>
          </w:tcPr>
          <w:p w14:paraId="00306E79" w14:textId="0FCB6D86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  <w:r w:rsid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42" w:type="dxa"/>
            <w:hideMark/>
          </w:tcPr>
          <w:p w14:paraId="5D0AC523" w14:textId="0A3579A9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  <w:r w:rsidR="0047675B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50" w:type="dxa"/>
            <w:hideMark/>
          </w:tcPr>
          <w:p w14:paraId="0139BDDD" w14:textId="408902EA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  <w:r w:rsid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7711F7" w14:paraId="0176B514" w14:textId="77777777" w:rsidTr="007711F7">
        <w:trPr>
          <w:trHeight w:val="393"/>
        </w:trPr>
        <w:tc>
          <w:tcPr>
            <w:tcW w:w="567" w:type="dxa"/>
            <w:hideMark/>
          </w:tcPr>
          <w:p w14:paraId="0366D8D6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3685" w:type="dxa"/>
            <w:hideMark/>
          </w:tcPr>
          <w:p w14:paraId="1B993DBF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unui centru de telefonie</w:t>
            </w:r>
          </w:p>
        </w:tc>
        <w:tc>
          <w:tcPr>
            <w:tcW w:w="639" w:type="dxa"/>
            <w:hideMark/>
          </w:tcPr>
          <w:p w14:paraId="60E27E1C" w14:textId="593CE288" w:rsidR="007711F7" w:rsidRP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  <w:r w:rsidR="007711F7" w:rsidRP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42" w:type="dxa"/>
            <w:hideMark/>
          </w:tcPr>
          <w:p w14:paraId="6C0CDB13" w14:textId="3629F4E1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  <w:r w:rsid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50" w:type="dxa"/>
            <w:hideMark/>
          </w:tcPr>
          <w:p w14:paraId="443D5F1D" w14:textId="02A43369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  <w:r w:rsid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7711F7" w14:paraId="7487B20B" w14:textId="77777777" w:rsidTr="007711F7">
        <w:trPr>
          <w:trHeight w:val="426"/>
        </w:trPr>
        <w:tc>
          <w:tcPr>
            <w:tcW w:w="567" w:type="dxa"/>
            <w:hideMark/>
          </w:tcPr>
          <w:p w14:paraId="19772DB1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3685" w:type="dxa"/>
            <w:hideMark/>
          </w:tcPr>
          <w:p w14:paraId="0C209122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unei adrese de e-mail</w:t>
            </w:r>
          </w:p>
        </w:tc>
        <w:tc>
          <w:tcPr>
            <w:tcW w:w="639" w:type="dxa"/>
            <w:hideMark/>
          </w:tcPr>
          <w:p w14:paraId="586C70CF" w14:textId="7BFAA29A" w:rsidR="007711F7" w:rsidRP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50</w:t>
            </w:r>
          </w:p>
        </w:tc>
        <w:tc>
          <w:tcPr>
            <w:tcW w:w="1742" w:type="dxa"/>
            <w:hideMark/>
          </w:tcPr>
          <w:p w14:paraId="53309C86" w14:textId="7054E42F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650" w:type="dxa"/>
            <w:hideMark/>
          </w:tcPr>
          <w:p w14:paraId="0AF1AD08" w14:textId="34B0A54C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50</w:t>
            </w:r>
          </w:p>
        </w:tc>
      </w:tr>
      <w:tr w:rsidR="007711F7" w14:paraId="7F3BE221" w14:textId="77777777" w:rsidTr="007711F7">
        <w:trPr>
          <w:trHeight w:val="390"/>
        </w:trPr>
        <w:tc>
          <w:tcPr>
            <w:tcW w:w="567" w:type="dxa"/>
            <w:hideMark/>
          </w:tcPr>
          <w:p w14:paraId="13DD8A49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3685" w:type="dxa"/>
            <w:hideMark/>
          </w:tcPr>
          <w:p w14:paraId="350EC46C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formularului on-line</w:t>
            </w:r>
          </w:p>
        </w:tc>
        <w:tc>
          <w:tcPr>
            <w:tcW w:w="639" w:type="dxa"/>
            <w:hideMark/>
          </w:tcPr>
          <w:p w14:paraId="12923C07" w14:textId="63419F86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742" w:type="dxa"/>
            <w:hideMark/>
          </w:tcPr>
          <w:p w14:paraId="0F159563" w14:textId="2FEFBD71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650" w:type="dxa"/>
            <w:hideMark/>
          </w:tcPr>
          <w:p w14:paraId="4A10BD52" w14:textId="21282679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34BD2F57" w14:textId="77777777" w:rsidTr="007711F7">
        <w:trPr>
          <w:trHeight w:val="397"/>
        </w:trPr>
        <w:tc>
          <w:tcPr>
            <w:tcW w:w="567" w:type="dxa"/>
            <w:hideMark/>
          </w:tcPr>
          <w:p w14:paraId="53EACAFA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3685" w:type="dxa"/>
            <w:hideMark/>
          </w:tcPr>
          <w:p w14:paraId="7179CCCE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fax</w:t>
            </w:r>
          </w:p>
        </w:tc>
        <w:tc>
          <w:tcPr>
            <w:tcW w:w="639" w:type="dxa"/>
            <w:hideMark/>
          </w:tcPr>
          <w:p w14:paraId="68B301EE" w14:textId="6791D3AF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742" w:type="dxa"/>
            <w:hideMark/>
          </w:tcPr>
          <w:p w14:paraId="365DF47C" w14:textId="1B4377A9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650" w:type="dxa"/>
            <w:hideMark/>
          </w:tcPr>
          <w:p w14:paraId="4D78F789" w14:textId="1C58B4AB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272F2963" w14:textId="77777777" w:rsidTr="007711F7">
        <w:trPr>
          <w:trHeight w:val="417"/>
        </w:trPr>
        <w:tc>
          <w:tcPr>
            <w:tcW w:w="567" w:type="dxa"/>
            <w:hideMark/>
          </w:tcPr>
          <w:p w14:paraId="71969805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3685" w:type="dxa"/>
            <w:hideMark/>
          </w:tcPr>
          <w:p w14:paraId="3952FD57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poştă</w:t>
            </w:r>
          </w:p>
        </w:tc>
        <w:tc>
          <w:tcPr>
            <w:tcW w:w="639" w:type="dxa"/>
            <w:hideMark/>
          </w:tcPr>
          <w:p w14:paraId="3FCDC075" w14:textId="6072D204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742" w:type="dxa"/>
            <w:hideMark/>
          </w:tcPr>
          <w:p w14:paraId="535D17C7" w14:textId="06525F8C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650" w:type="dxa"/>
            <w:hideMark/>
          </w:tcPr>
          <w:p w14:paraId="35660DE0" w14:textId="1217CD41" w:rsidR="007711F7" w:rsidRDefault="004A3606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1E050C47" w14:textId="77777777" w:rsidTr="007711F7">
        <w:trPr>
          <w:trHeight w:val="347"/>
        </w:trPr>
        <w:tc>
          <w:tcPr>
            <w:tcW w:w="4252" w:type="dxa"/>
            <w:gridSpan w:val="2"/>
            <w:hideMark/>
          </w:tcPr>
          <w:p w14:paraId="38982184" w14:textId="77777777" w:rsidR="007711F7" w:rsidRDefault="007711F7">
            <w:pP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639" w:type="dxa"/>
            <w:hideMark/>
          </w:tcPr>
          <w:p w14:paraId="3F4A86AA" w14:textId="0C0B89BE" w:rsidR="007711F7" w:rsidRPr="007711F7" w:rsidRDefault="00156F9E" w:rsidP="007711F7">
            <w:pPr>
              <w:jc w:val="right"/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59</w:t>
            </w:r>
          </w:p>
        </w:tc>
        <w:tc>
          <w:tcPr>
            <w:tcW w:w="1742" w:type="dxa"/>
            <w:hideMark/>
          </w:tcPr>
          <w:p w14:paraId="291D0D10" w14:textId="6694E8B0" w:rsidR="007711F7" w:rsidRPr="007711F7" w:rsidRDefault="004A3606" w:rsidP="007711F7">
            <w:pPr>
              <w:jc w:val="right"/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0</w:t>
            </w:r>
            <w:r w:rsidR="007711F7" w:rsidRPr="007711F7"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50" w:type="dxa"/>
            <w:noWrap/>
            <w:hideMark/>
          </w:tcPr>
          <w:p w14:paraId="5A8AE877" w14:textId="70D5B3ED" w:rsidR="007711F7" w:rsidRPr="007711F7" w:rsidRDefault="004A3606" w:rsidP="007711F7">
            <w:pPr>
              <w:spacing w:after="120"/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59</w:t>
            </w:r>
            <w:r w:rsidR="007711F7" w:rsidRPr="007711F7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082DFFF0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 w:eastAsia="en-GB"/>
        </w:rPr>
      </w:pPr>
    </w:p>
    <w:p w14:paraId="67C061BE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p w14:paraId="5A72A1C5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p w14:paraId="7AB4E40B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p w14:paraId="089D8644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tbl>
      <w:tblPr>
        <w:tblW w:w="9913" w:type="dxa"/>
        <w:tblInd w:w="-743" w:type="dxa"/>
        <w:tblLook w:val="04A0" w:firstRow="1" w:lastRow="0" w:firstColumn="1" w:lastColumn="0" w:noHBand="0" w:noVBand="1"/>
      </w:tblPr>
      <w:tblGrid>
        <w:gridCol w:w="923"/>
        <w:gridCol w:w="576"/>
        <w:gridCol w:w="2938"/>
        <w:gridCol w:w="717"/>
        <w:gridCol w:w="1091"/>
        <w:gridCol w:w="3668"/>
      </w:tblGrid>
      <w:tr w:rsidR="00F958C1" w14:paraId="20ECB136" w14:textId="77777777" w:rsidTr="00F958C1">
        <w:trPr>
          <w:trHeight w:val="489"/>
        </w:trPr>
        <w:tc>
          <w:tcPr>
            <w:tcW w:w="923" w:type="dxa"/>
            <w:noWrap/>
            <w:vAlign w:val="center"/>
            <w:hideMark/>
          </w:tcPr>
          <w:p w14:paraId="1E349361" w14:textId="77777777" w:rsidR="00F958C1" w:rsidRDefault="00F958C1">
            <w:pPr>
              <w:rPr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6206BE50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noWrap/>
            <w:vAlign w:val="bottom"/>
            <w:hideMark/>
          </w:tcPr>
          <w:p w14:paraId="37BFE73E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  <w:vAlign w:val="bottom"/>
            <w:hideMark/>
          </w:tcPr>
          <w:p w14:paraId="581709BE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  <w:hideMark/>
          </w:tcPr>
          <w:p w14:paraId="06DD9E29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vAlign w:val="bottom"/>
            <w:hideMark/>
          </w:tcPr>
          <w:p w14:paraId="7F094017" w14:textId="77777777" w:rsidR="00F958C1" w:rsidRDefault="00F958C1">
            <w:pPr>
              <w:rPr>
                <w:sz w:val="20"/>
                <w:szCs w:val="20"/>
              </w:rPr>
            </w:pPr>
          </w:p>
        </w:tc>
      </w:tr>
    </w:tbl>
    <w:p w14:paraId="33572C06" w14:textId="77777777" w:rsidR="00F958C1" w:rsidRDefault="00F958C1" w:rsidP="00F958C1">
      <w:pPr>
        <w:rPr>
          <w:noProof/>
          <w:lang w:val="ro-RO" w:eastAsia="en-GB"/>
        </w:rPr>
      </w:pPr>
      <w:r>
        <w:rPr>
          <w:noProof/>
          <w:lang w:val="ro-RO"/>
        </w:rPr>
        <w:br w:type="page"/>
      </w:r>
    </w:p>
    <w:tbl>
      <w:tblPr>
        <w:tblW w:w="9913" w:type="dxa"/>
        <w:tblInd w:w="-743" w:type="dxa"/>
        <w:tblLook w:val="04A0" w:firstRow="1" w:lastRow="0" w:firstColumn="1" w:lastColumn="0" w:noHBand="0" w:noVBand="1"/>
      </w:tblPr>
      <w:tblGrid>
        <w:gridCol w:w="923"/>
        <w:gridCol w:w="576"/>
        <w:gridCol w:w="2938"/>
        <w:gridCol w:w="717"/>
        <w:gridCol w:w="1091"/>
        <w:gridCol w:w="1301"/>
        <w:gridCol w:w="2367"/>
      </w:tblGrid>
      <w:tr w:rsidR="00F958C1" w14:paraId="47406A98" w14:textId="77777777" w:rsidTr="00F958C1">
        <w:trPr>
          <w:trHeight w:val="575"/>
        </w:trPr>
        <w:tc>
          <w:tcPr>
            <w:tcW w:w="923" w:type="dxa"/>
            <w:noWrap/>
            <w:vAlign w:val="center"/>
            <w:hideMark/>
          </w:tcPr>
          <w:p w14:paraId="3240BFFE" w14:textId="77777777" w:rsidR="00F958C1" w:rsidRDefault="00F958C1">
            <w:pPr>
              <w:rPr>
                <w:noProof/>
                <w:lang w:val="ro-RO"/>
              </w:rPr>
            </w:pPr>
          </w:p>
        </w:tc>
        <w:tc>
          <w:tcPr>
            <w:tcW w:w="8990" w:type="dxa"/>
            <w:gridSpan w:val="6"/>
            <w:vAlign w:val="center"/>
            <w:hideMark/>
          </w:tcPr>
          <w:p w14:paraId="791236A1" w14:textId="77777777" w:rsidR="00F958C1" w:rsidRDefault="00F958C1">
            <w:pPr>
              <w:jc w:val="right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Anexa nr. 4 la procedura-cadru         </w:t>
            </w:r>
          </w:p>
          <w:p w14:paraId="4AC6CA01" w14:textId="77777777" w:rsidR="00F958C1" w:rsidRDefault="00F958C1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Structura plângerilor în funcţie de categorie, concluzia analizei şi respectarea termenului legal</w:t>
            </w:r>
          </w:p>
        </w:tc>
      </w:tr>
      <w:tr w:rsidR="00F958C1" w14:paraId="3EFEF0A0" w14:textId="77777777" w:rsidTr="00F958C1">
        <w:trPr>
          <w:trHeight w:val="848"/>
        </w:trPr>
        <w:tc>
          <w:tcPr>
            <w:tcW w:w="923" w:type="dxa"/>
            <w:vAlign w:val="center"/>
            <w:hideMark/>
          </w:tcPr>
          <w:p w14:paraId="0D462815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7C5F75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93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66DD53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3109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45A07A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  <w:tc>
          <w:tcPr>
            <w:tcW w:w="23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2A54AB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Plângeri nerezolvate în termen din total plângeri (%)</w:t>
            </w:r>
          </w:p>
        </w:tc>
      </w:tr>
      <w:tr w:rsidR="00F958C1" w14:paraId="569E441F" w14:textId="77777777" w:rsidTr="00F958C1">
        <w:trPr>
          <w:trHeight w:val="1021"/>
        </w:trPr>
        <w:tc>
          <w:tcPr>
            <w:tcW w:w="923" w:type="dxa"/>
            <w:vAlign w:val="center"/>
            <w:hideMark/>
          </w:tcPr>
          <w:p w14:paraId="5561EF0F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1CF07C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429D50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99DEDA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073467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Rezolvate în termenul legal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7219C6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Nerezolvate în termenul legal</w:t>
            </w: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53B045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</w:tr>
      <w:tr w:rsidR="00F958C1" w14:paraId="16771B50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10A8392C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A613A5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4C5F6F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F5EB87" w14:textId="0E37445B" w:rsidR="00F958C1" w:rsidRDefault="00767644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59A1D0" w14:textId="155366F8" w:rsidR="00F958C1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A18780" w14:textId="3BA1F95B" w:rsidR="00F958C1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D7F24C" w14:textId="4FE7F9EA" w:rsidR="00F958C1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19DB737C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725F8D66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C06AE1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D11813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955EAE" w14:textId="33C6146C" w:rsidR="00F958C1" w:rsidRPr="007711F7" w:rsidRDefault="003950D0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  <w:r w:rsidR="00872D67"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  <w:r w:rsidR="00F958C1" w:rsidRP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5E0184" w14:textId="13302418" w:rsidR="00F958C1" w:rsidRPr="007711F7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  <w:r w:rsidR="00872D67"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  <w:r w:rsidR="00F958C1" w:rsidRP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6D09A7" w14:textId="24282ACA" w:rsidR="00F958C1" w:rsidRPr="007711F7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1850AB" w14:textId="33FE59F4" w:rsidR="00F958C1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212CCCCA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12EA1AD7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1465D3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932093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65587D7" w14:textId="79460057" w:rsidR="00F958C1" w:rsidRPr="007711F7" w:rsidRDefault="00767644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A48EDD0" w14:textId="3FCDC5EC" w:rsidR="00F958C1" w:rsidRPr="007711F7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D832EF" w14:textId="542ED83C" w:rsidR="00F958C1" w:rsidRPr="007711F7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26C3A8" w14:textId="242A460C" w:rsidR="00F958C1" w:rsidRPr="007711F7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08D665BC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4EB9232B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8714E5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395AB9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5A5A9F" w14:textId="6AD3B796" w:rsidR="00F958C1" w:rsidRPr="007711F7" w:rsidRDefault="0062409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15</w:t>
            </w:r>
            <w:r w:rsidR="00F958C1" w:rsidRP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5389DB" w14:textId="6E4078D9" w:rsidR="00F958C1" w:rsidRPr="007711F7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  <w:r w:rsidR="002C157A">
              <w:rPr>
                <w:noProof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DC9FC1" w14:textId="3A6907D5" w:rsidR="00F958C1" w:rsidRPr="007711F7" w:rsidRDefault="002C157A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E97912" w14:textId="7F5B7019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15EDBF1B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240987A2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A51D62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64EFAE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4B86BC" w14:textId="02BDEC11" w:rsidR="00F958C1" w:rsidRPr="007711F7" w:rsidRDefault="0017275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7C8754" w14:textId="115A9642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6081B9" w14:textId="5B43148D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D5D78BD" w14:textId="3778565D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4CC1976D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5CC93D7B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488D3F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5F8381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44A8A2" w14:textId="60BCBBFB" w:rsidR="00F958C1" w:rsidRPr="007711F7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  <w:r w:rsidR="00767644"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9060E3D" w14:textId="18B065FA" w:rsidR="00F958C1" w:rsidRPr="007711F7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7711F7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  <w:r w:rsidR="00D75386"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5D2D9F" w14:textId="7E47846E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AC2985" w14:textId="1E961244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2EDAE74F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39DB0EB5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D014FD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C20295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E9CB59" w14:textId="6FEDBB4C" w:rsidR="00F958C1" w:rsidRPr="007711F7" w:rsidRDefault="00767644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2AD82A" w14:textId="4244DE98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B3CFDC" w14:textId="671C3E97" w:rsidR="00F958C1" w:rsidRPr="007711F7" w:rsidRDefault="00D75386" w:rsidP="007B77D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3A123F" w14:textId="419A0ABC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211C6B78" w14:textId="77777777" w:rsidTr="00F958C1">
        <w:trPr>
          <w:trHeight w:val="978"/>
        </w:trPr>
        <w:tc>
          <w:tcPr>
            <w:tcW w:w="923" w:type="dxa"/>
            <w:vAlign w:val="center"/>
            <w:hideMark/>
          </w:tcPr>
          <w:p w14:paraId="1EE8952C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AF79CC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E06584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vigoare;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A37410" w14:textId="3ECD9584" w:rsidR="00F958C1" w:rsidRPr="007711F7" w:rsidRDefault="00767644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A84E12" w14:textId="41F45742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C7F497" w14:textId="3CC73977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FEF57D" w14:textId="13624A40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04D6B41E" w14:textId="77777777" w:rsidTr="00F958C1">
        <w:trPr>
          <w:trHeight w:val="1107"/>
        </w:trPr>
        <w:tc>
          <w:tcPr>
            <w:tcW w:w="923" w:type="dxa"/>
            <w:vAlign w:val="center"/>
            <w:hideMark/>
          </w:tcPr>
          <w:p w14:paraId="5A5390C4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2E5958E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A74712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5E5940" w14:textId="5FFE6DF7" w:rsidR="00F958C1" w:rsidRPr="007711F7" w:rsidRDefault="00767644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92D2AD" w14:textId="55C44E53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A91C4D" w14:textId="2CFDAD48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AF8D90" w14:textId="66FDADB4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F958C1" w14:paraId="626ED6B7" w14:textId="77777777" w:rsidTr="00F958C1">
        <w:trPr>
          <w:trHeight w:val="662"/>
        </w:trPr>
        <w:tc>
          <w:tcPr>
            <w:tcW w:w="923" w:type="dxa"/>
            <w:vAlign w:val="center"/>
            <w:hideMark/>
          </w:tcPr>
          <w:p w14:paraId="3BC89E78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742495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AC2A70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E50161" w14:textId="550F5429" w:rsidR="00F958C1" w:rsidRPr="007711F7" w:rsidRDefault="00767644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  <w:r w:rsidR="00872D67"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B728EEC" w14:textId="08D037F9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  <w:r w:rsidR="00872D67"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E1E5C7" w14:textId="4C7D1397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38C875" w14:textId="75656F07" w:rsidR="00F958C1" w:rsidRPr="007711F7" w:rsidRDefault="00D75386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700CC69B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51301CBF" w14:textId="77777777" w:rsidR="007711F7" w:rsidRDefault="007711F7" w:rsidP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CBA54D" w14:textId="77777777" w:rsidR="007711F7" w:rsidRDefault="007711F7" w:rsidP="007711F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91539D" w14:textId="274B74DA" w:rsidR="007711F7" w:rsidRDefault="007B77D6" w:rsidP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41834F" w14:textId="52E4E1BB" w:rsidR="007711F7" w:rsidRDefault="007B77D6" w:rsidP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5715F0" w14:textId="31B4AA09" w:rsidR="007711F7" w:rsidRDefault="007B77D6" w:rsidP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F1606B" w14:textId="7AEBF2B5" w:rsidR="007711F7" w:rsidRDefault="007B77D6" w:rsidP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52A6968E" w14:textId="77777777" w:rsidTr="00F958C1">
        <w:trPr>
          <w:trHeight w:val="575"/>
        </w:trPr>
        <w:tc>
          <w:tcPr>
            <w:tcW w:w="923" w:type="dxa"/>
            <w:vAlign w:val="center"/>
            <w:hideMark/>
          </w:tcPr>
          <w:p w14:paraId="352C0B11" w14:textId="77777777" w:rsidR="007711F7" w:rsidRDefault="007711F7" w:rsidP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B14E3C" w14:textId="77777777" w:rsidR="007711F7" w:rsidRPr="00263DD3" w:rsidRDefault="007711F7" w:rsidP="007711F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din care: întemeiate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134371" w14:textId="225B84B3" w:rsidR="007711F7" w:rsidRPr="00263DD3" w:rsidRDefault="00685243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40F1267" w14:textId="00D69E67" w:rsidR="007711F7" w:rsidRPr="00263DD3" w:rsidRDefault="007B77D6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41D6C7" w14:textId="0E2989EC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D97693" w14:textId="6A9CD3CF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6D651631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5BEAA56B" w14:textId="77777777" w:rsidR="007711F7" w:rsidRDefault="007711F7" w:rsidP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D8DFEC" w14:textId="77777777" w:rsidR="007711F7" w:rsidRPr="00263DD3" w:rsidRDefault="007711F7" w:rsidP="007711F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neîntemeiate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1349B6" w14:textId="30246F82" w:rsidR="007711F7" w:rsidRPr="00263DD3" w:rsidRDefault="007B77D6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FF90F2" w14:textId="20A6B354" w:rsidR="007711F7" w:rsidRPr="00263DD3" w:rsidRDefault="007B77D6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689F34" w14:textId="6C9B5EC5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BB08181" w14:textId="1D76AB6E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7FE44377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5A113808" w14:textId="77777777" w:rsidR="007711F7" w:rsidRDefault="007711F7" w:rsidP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9F69D7" w14:textId="77777777" w:rsidR="007711F7" w:rsidRPr="00263DD3" w:rsidRDefault="007711F7" w:rsidP="007711F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nesoluţionabile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AC3C44" w14:textId="1F8F942B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90CA67" w14:textId="6233FEF9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B1B91F" w14:textId="7FC98FFD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7179CBA" w14:textId="72A5CE93" w:rsidR="007711F7" w:rsidRPr="00263DD3" w:rsidRDefault="009D7952" w:rsidP="007711F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72FD1966" w14:textId="59A9905B" w:rsidR="00F958C1" w:rsidRDefault="00F958C1" w:rsidP="00F958C1">
      <w:r>
        <w:br w:type="page"/>
      </w:r>
    </w:p>
    <w:p w14:paraId="5913E1CD" w14:textId="6ACA6124" w:rsidR="004C216B" w:rsidRDefault="004C216B" w:rsidP="00F958C1">
      <w:pPr>
        <w:rPr>
          <w:lang w:eastAsia="en-GB"/>
        </w:rPr>
      </w:pPr>
    </w:p>
    <w:p w14:paraId="70FDA2F4" w14:textId="4D6154AA" w:rsidR="004C216B" w:rsidRDefault="004C216B" w:rsidP="004C216B">
      <w:pPr>
        <w:jc w:val="right"/>
        <w:rPr>
          <w:lang w:eastAsia="en-GB"/>
        </w:rPr>
      </w:pPr>
      <w:r>
        <w:rPr>
          <w:noProof/>
          <w:color w:val="000000"/>
          <w:sz w:val="20"/>
          <w:szCs w:val="20"/>
          <w:lang w:val="ro-RO"/>
        </w:rPr>
        <w:t>Anexa nr. 5 la procedura-cadru: Sinteza modului de soluţionare şi măsurile corective aferente categoriilor de plângeri</w:t>
      </w:r>
    </w:p>
    <w:tbl>
      <w:tblPr>
        <w:tblW w:w="10595" w:type="dxa"/>
        <w:tblInd w:w="-753" w:type="dxa"/>
        <w:tblLook w:val="04A0" w:firstRow="1" w:lastRow="0" w:firstColumn="1" w:lastColumn="0" w:noHBand="0" w:noVBand="1"/>
      </w:tblPr>
      <w:tblGrid>
        <w:gridCol w:w="885"/>
        <w:gridCol w:w="2115"/>
        <w:gridCol w:w="4350"/>
        <w:gridCol w:w="3245"/>
      </w:tblGrid>
      <w:tr w:rsidR="00F958C1" w:rsidRPr="004C216B" w14:paraId="65A7F4E3" w14:textId="77777777" w:rsidTr="004C216B">
        <w:trPr>
          <w:trHeight w:val="226"/>
          <w:tblHeader/>
        </w:trPr>
        <w:tc>
          <w:tcPr>
            <w:tcW w:w="88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FFAB128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11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F6B1603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435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A3839B3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Sinteza modului de soluţionare</w:t>
            </w:r>
          </w:p>
        </w:tc>
        <w:tc>
          <w:tcPr>
            <w:tcW w:w="324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A0A3BE1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Măsuri corective</w:t>
            </w:r>
          </w:p>
        </w:tc>
      </w:tr>
      <w:tr w:rsidR="00F958C1" w:rsidRPr="004C216B" w14:paraId="22DED282" w14:textId="77777777" w:rsidTr="004C216B">
        <w:trPr>
          <w:trHeight w:val="647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76A939C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EADBE22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A63FEEE" w14:textId="77777777" w:rsidR="00F958C1" w:rsidRPr="004C216B" w:rsidRDefault="00F958C1">
            <w:pPr>
              <w:jc w:val="both"/>
              <w:rPr>
                <w:caps/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937F5D5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</w:tr>
      <w:tr w:rsidR="00F958C1" w:rsidRPr="004C216B" w14:paraId="12BD7382" w14:textId="77777777" w:rsidTr="004C216B">
        <w:trPr>
          <w:trHeight w:val="1166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93E8ECE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FF95CE9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C6E3BF3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Solicitǎri de clarificǎri către operatorii de distribuție și verificări în cadrul societății Energy Distribution Services S.R.L.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BFEA2EF" w14:textId="278B0D0E" w:rsidR="00F958C1" w:rsidRPr="004C216B" w:rsidRDefault="007711F7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Clarificări privind indecşii determinaţi de operatorul de distribuţie la schimbarea furnizorului de energie electrică, </w:t>
            </w:r>
            <w:r w:rsidR="00F958C1" w:rsidRPr="004C216B">
              <w:rPr>
                <w:noProof/>
                <w:color w:val="000000"/>
                <w:sz w:val="20"/>
                <w:szCs w:val="20"/>
                <w:lang w:val="ro-RO"/>
              </w:rPr>
              <w:t>comunicarea procedurii de transmitere a indecşilor autocitiţi în vederea facturării cantităţilor de energie electrică efectiv consumate, explicarea modului de regularizare a consumului prezumat de energie electrică,  clarificări privind cuantumul şi temeiul penalităţilor de întârziere facturate</w:t>
            </w:r>
            <w:r w:rsidR="004C216B" w:rsidRPr="004C216B">
              <w:rPr>
                <w:noProof/>
                <w:color w:val="000000"/>
                <w:sz w:val="20"/>
                <w:szCs w:val="20"/>
                <w:lang w:val="ro-RO"/>
              </w:rPr>
              <w:t>, explicaţii privind modul de facturare al energiei reactive</w:t>
            </w:r>
          </w:p>
        </w:tc>
      </w:tr>
      <w:tr w:rsidR="00F958C1" w:rsidRPr="004C216B" w14:paraId="764EC4CF" w14:textId="77777777" w:rsidTr="004C216B">
        <w:trPr>
          <w:trHeight w:val="748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904FD0D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F6C7F64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05FE47D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9CD5BFD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</w:tr>
      <w:tr w:rsidR="00F958C1" w:rsidRPr="004C216B" w14:paraId="2B4D7429" w14:textId="77777777" w:rsidTr="004C216B">
        <w:trPr>
          <w:trHeight w:val="1074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46E1397A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966D5F6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92B13A4" w14:textId="09B0F965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Înregistrarea telefonică a întreruperilor neprogramate în alimentarea cu energie electrică la serviciul de call-center a operatorilor de distribuţie</w:t>
            </w:r>
            <w:r w:rsidR="00872D67">
              <w:rPr>
                <w:noProof/>
                <w:color w:val="000000"/>
                <w:sz w:val="20"/>
                <w:szCs w:val="20"/>
                <w:lang w:val="ro-RO"/>
              </w:rPr>
              <w:t xml:space="preserve"> şi </w:t>
            </w: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urmărirea restabilirii alimentării cu energie conform legislației în vigoare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549D22D0" w14:textId="36A7E18B" w:rsidR="001D1D34" w:rsidRPr="00872D67" w:rsidRDefault="00F958C1" w:rsidP="001D1D34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Transmiterea de solicitǎri cǎtre operatorii de distribuţie </w:t>
            </w:r>
            <w:r w:rsidR="00872D67">
              <w:rPr>
                <w:noProof/>
                <w:color w:val="000000"/>
                <w:sz w:val="20"/>
                <w:szCs w:val="20"/>
                <w:lang w:val="ro-RO"/>
              </w:rPr>
              <w:t>privind</w:t>
            </w: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 comunicarea planurilor de investiţii avute de vedere pentru evitarea întreruperilor în alimentarea cu energie electricǎ pe termen mediu şi lung</w:t>
            </w:r>
            <w:r w:rsidR="00872D67">
              <w:rPr>
                <w:noProof/>
                <w:color w:val="000000"/>
                <w:sz w:val="20"/>
                <w:szCs w:val="20"/>
                <w:lang w:val="ro-RO"/>
              </w:rPr>
              <w:t>, respectiv p</w:t>
            </w:r>
            <w:r w:rsidR="00872D67">
              <w:rPr>
                <w:noProof/>
                <w:color w:val="000000"/>
                <w:sz w:val="20"/>
                <w:szCs w:val="20"/>
              </w:rPr>
              <w:t xml:space="preserve">rivind </w:t>
            </w:r>
            <w:r w:rsidR="00872D67" w:rsidRPr="00872D67">
              <w:rPr>
                <w:noProof/>
                <w:color w:val="000000"/>
                <w:sz w:val="20"/>
                <w:szCs w:val="20"/>
              </w:rPr>
              <w:t>includerea în contractul de distribuţie a unor prevederi speciale referitoare la continuitatea alimentării şi/sau calitatea tehnică a energiei electrice, suplimentare nivelurilor minime stabilite prin Ordinul ANRE 46/15.06.2021</w:t>
            </w:r>
            <w:r w:rsidR="00872D67">
              <w:rPr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F958C1" w:rsidRPr="004C216B" w14:paraId="3CBA3FF0" w14:textId="77777777" w:rsidTr="004C216B">
        <w:trPr>
          <w:trHeight w:val="5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5DFC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35C2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991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 Transmiterea către operatorii de distribuţie de explicaţii privind calitatea curbei de tensiune şi de solicitări privind monitorizarea principalilor parametri de calitate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490" w14:textId="247ABC02" w:rsidR="001D1D34" w:rsidRPr="004C216B" w:rsidRDefault="00F958C1" w:rsidP="001D1D34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 Transmiterea de solicitǎri cǎtre operatorii de distribuţie pentru montarea de analizatoare de calitate şi analiza rezultatelor monitorizării</w:t>
            </w:r>
            <w:r w:rsidR="007B7452">
              <w:rPr>
                <w:noProof/>
                <w:color w:val="000000"/>
                <w:sz w:val="20"/>
                <w:szCs w:val="20"/>
                <w:lang w:val="ro-RO"/>
              </w:rPr>
              <w:t xml:space="preserve">, precum şi pentru </w:t>
            </w:r>
            <w:r w:rsidR="007B7452" w:rsidRPr="00872D67">
              <w:rPr>
                <w:noProof/>
                <w:color w:val="000000"/>
                <w:sz w:val="20"/>
                <w:szCs w:val="20"/>
              </w:rPr>
              <w:t>includerea în contractul de distribuţie a unor prevederi speciale referitoare la continuitatea alimentării şi/sau calitatea tehnică a energiei electrice, suplimentare nivelurilor minime stabilite prin Ordinul ANRE 46/15.06.2021</w:t>
            </w:r>
            <w:r w:rsidR="007B7452">
              <w:rPr>
                <w:noProof/>
                <w:color w:val="000000"/>
                <w:sz w:val="20"/>
                <w:szCs w:val="20"/>
              </w:rPr>
              <w:t>.</w:t>
            </w: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F958C1" w:rsidRPr="004C216B" w14:paraId="6036D535" w14:textId="77777777" w:rsidTr="004C216B">
        <w:trPr>
          <w:trHeight w:val="7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BC1E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lastRenderedPageBreak/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B43F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BD8F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Intervenții scrise către operatorii de distribuție în vederea verificării grupurilor de măsurare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0DB5" w14:textId="7BA6922C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Transmiterea de solicitǎri cǎtre operatorii de distribuţie pentru verificarea grupurilor de măsurare a energiei electrice pe teren</w:t>
            </w:r>
            <w:r w:rsidR="004C216B"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 şi de remediere a telecitirii</w:t>
            </w: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, comunicarea documentelor întocmite de operatorul de distribuţie la verificarea grupurilor de mǎsurare pe teren şi temeiul recalculărilor aferente.</w:t>
            </w:r>
          </w:p>
        </w:tc>
      </w:tr>
      <w:tr w:rsidR="00F958C1" w:rsidRPr="004C216B" w14:paraId="3F096A3E" w14:textId="77777777" w:rsidTr="004C216B">
        <w:trPr>
          <w:trHeight w:val="727"/>
        </w:trPr>
        <w:tc>
          <w:tcPr>
            <w:tcW w:w="885" w:type="dxa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29E4725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D1C17B3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9C6363F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1BF16C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</w:tr>
      <w:tr w:rsidR="00F958C1" w:rsidRPr="004C216B" w14:paraId="25ACF454" w14:textId="77777777" w:rsidTr="004C216B">
        <w:trPr>
          <w:trHeight w:val="892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73D943A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06C6EC1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AE1BB5B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0DD5258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</w:tr>
      <w:tr w:rsidR="00F958C1" w:rsidRPr="004C216B" w14:paraId="5B3DE713" w14:textId="77777777" w:rsidTr="004C216B">
        <w:trPr>
          <w:trHeight w:val="892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72605BE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8B731F4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040EB7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1B581B5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Nu este cazul (nu au existat plângeri ale clienţilor finali de energie electrică privind această categorie).</w:t>
            </w:r>
          </w:p>
        </w:tc>
      </w:tr>
      <w:tr w:rsidR="00F958C1" w14:paraId="4D954A29" w14:textId="77777777" w:rsidTr="004C216B">
        <w:trPr>
          <w:trHeight w:val="892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0D6BA83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8BE2208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12C8338" w14:textId="77777777" w:rsidR="00F958C1" w:rsidRPr="004C216B" w:rsidRDefault="00F958C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Intervenții scrise / e-mail  către operatorii de distribuție şi informarea clienţilor finali privind legislaţia în vigoare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3B2CDFE" w14:textId="44C59DFE" w:rsidR="00F958C1" w:rsidRDefault="001F5D8A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Transmiterea către operatorii de distribuţie a solicitărilor de sistare temporară a furni</w:t>
            </w:r>
            <w:r>
              <w:rPr>
                <w:noProof/>
                <w:color w:val="000000"/>
                <w:sz w:val="20"/>
                <w:szCs w:val="20"/>
              </w:rPr>
              <w:t>zării şi întreruperi planificate de clienţi, de punere a dispoziţie de copii ale documentelor de racordare, de acces la citirea indicaţiilor contoarelor, a</w:t>
            </w: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 xml:space="preserve">cordare de eşalonare la plata facturilor de consum, </w:t>
            </w:r>
            <w:r>
              <w:rPr>
                <w:noProof/>
                <w:color w:val="000000"/>
                <w:sz w:val="20"/>
                <w:szCs w:val="20"/>
                <w:lang w:val="ro-RO"/>
              </w:rPr>
              <w:t>transmiterea de confirmări de sold, explicarea temeiului legal pentru facturarea energiei reactive</w:t>
            </w:r>
          </w:p>
        </w:tc>
      </w:tr>
    </w:tbl>
    <w:p w14:paraId="734AEC45" w14:textId="77777777" w:rsidR="00F958C1" w:rsidRDefault="00F958C1" w:rsidP="00F958C1">
      <w:pPr>
        <w:jc w:val="both"/>
        <w:rPr>
          <w:noProof/>
          <w:color w:val="000000"/>
          <w:sz w:val="20"/>
          <w:szCs w:val="20"/>
          <w:lang w:val="ro-RO" w:eastAsia="en-GB"/>
        </w:rPr>
      </w:pPr>
    </w:p>
    <w:p w14:paraId="1C570A0E" w14:textId="77777777" w:rsidR="00F958C1" w:rsidRDefault="00F958C1" w:rsidP="00F958C1">
      <w:pPr>
        <w:jc w:val="both"/>
        <w:rPr>
          <w:noProof/>
          <w:color w:val="000000"/>
          <w:sz w:val="20"/>
          <w:szCs w:val="20"/>
          <w:lang w:val="ro-RO"/>
        </w:rPr>
      </w:pPr>
      <w:r>
        <w:rPr>
          <w:noProof/>
          <w:color w:val="000000"/>
          <w:sz w:val="20"/>
          <w:szCs w:val="20"/>
          <w:lang w:val="ro-RO"/>
        </w:rPr>
        <w:t xml:space="preserve"> </w:t>
      </w:r>
    </w:p>
    <w:p w14:paraId="52297FA5" w14:textId="77777777" w:rsidR="00F958C1" w:rsidRDefault="00F958C1" w:rsidP="00F958C1">
      <w:pPr>
        <w:jc w:val="both"/>
        <w:rPr>
          <w:noProof/>
          <w:color w:val="000000"/>
          <w:sz w:val="20"/>
          <w:szCs w:val="20"/>
          <w:lang w:val="ro-RO"/>
        </w:rPr>
      </w:pPr>
    </w:p>
    <w:p w14:paraId="1D12BE80" w14:textId="77777777" w:rsidR="00F958C1" w:rsidRDefault="00F958C1" w:rsidP="00F958C1"/>
    <w:p w14:paraId="1EC81F62" w14:textId="1431826B" w:rsidR="00340CD3" w:rsidRDefault="004A24FF" w:rsidP="00340CD3">
      <w:pPr>
        <w:jc w:val="both"/>
        <w:rPr>
          <w:rFonts w:eastAsia="Times New Roman"/>
          <w:sz w:val="20"/>
          <w:szCs w:val="20"/>
        </w:rPr>
      </w:pPr>
      <w:r>
        <w:rPr>
          <w:rFonts w:eastAsia="Calibri"/>
          <w:b/>
          <w:noProof/>
          <w:sz w:val="20"/>
          <w:szCs w:val="20"/>
          <w:lang w:val="ro-RO"/>
        </w:rPr>
        <w:t xml:space="preserve"> </w:t>
      </w:r>
    </w:p>
    <w:sectPr w:rsidR="00340CD3" w:rsidSect="00001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29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97BE" w14:textId="77777777" w:rsidR="00C5767D" w:rsidRDefault="00C5767D" w:rsidP="00851FED">
      <w:r>
        <w:separator/>
      </w:r>
    </w:p>
  </w:endnote>
  <w:endnote w:type="continuationSeparator" w:id="0">
    <w:p w14:paraId="63F7537F" w14:textId="77777777" w:rsidR="00C5767D" w:rsidRDefault="00C5767D" w:rsidP="008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9720" w14:textId="77777777" w:rsidR="0026667E" w:rsidRDefault="00266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C244" w14:textId="48E0D176" w:rsidR="00C31F03" w:rsidRDefault="00521D11" w:rsidP="0000141C">
    <w:pPr>
      <w:pStyle w:val="Footer"/>
      <w:tabs>
        <w:tab w:val="clear" w:pos="9026"/>
      </w:tabs>
      <w:ind w:right="-1440"/>
    </w:pPr>
    <w:r>
      <w:t xml:space="preserve">                                                </w:t>
    </w:r>
    <w:r w:rsidR="00C31F03">
      <w:t xml:space="preserve">          </w:t>
    </w:r>
  </w:p>
  <w:p w14:paraId="7553EBB3" w14:textId="27D0C52C" w:rsidR="00521D11" w:rsidRDefault="00C31F03" w:rsidP="00CE2DB7">
    <w:pPr>
      <w:pStyle w:val="Footer"/>
      <w:tabs>
        <w:tab w:val="clear" w:pos="9026"/>
      </w:tabs>
      <w:ind w:left="-1418" w:right="-1440" w:firstLine="1"/>
    </w:pPr>
    <w:r>
      <w:t xml:space="preserve">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4EF0" w14:textId="77777777" w:rsidR="0026667E" w:rsidRDefault="0026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698B" w14:textId="77777777" w:rsidR="00C5767D" w:rsidRDefault="00C5767D" w:rsidP="00851FED">
      <w:r>
        <w:separator/>
      </w:r>
    </w:p>
  </w:footnote>
  <w:footnote w:type="continuationSeparator" w:id="0">
    <w:p w14:paraId="3E05D75F" w14:textId="77777777" w:rsidR="00C5767D" w:rsidRDefault="00C5767D" w:rsidP="0085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6FB3" w14:textId="77777777" w:rsidR="0026667E" w:rsidRDefault="00266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393" w14:textId="74AA3D49" w:rsidR="00851FED" w:rsidRDefault="0026667E" w:rsidP="0026667E">
    <w:pPr>
      <w:pStyle w:val="Header"/>
      <w:ind w:left="-142"/>
      <w:jc w:val="right"/>
      <w:rPr>
        <w:sz w:val="20"/>
        <w:szCs w:val="20"/>
      </w:rPr>
    </w:pPr>
    <w:proofErr w:type="spellStart"/>
    <w:r w:rsidRPr="0026667E">
      <w:rPr>
        <w:sz w:val="20"/>
        <w:szCs w:val="20"/>
      </w:rPr>
      <w:t>Anexa</w:t>
    </w:r>
    <w:proofErr w:type="spellEnd"/>
    <w:r w:rsidRPr="0026667E">
      <w:rPr>
        <w:sz w:val="20"/>
        <w:szCs w:val="20"/>
      </w:rPr>
      <w:t xml:space="preserve"> la </w:t>
    </w:r>
    <w:proofErr w:type="spellStart"/>
    <w:r w:rsidRPr="0026667E">
      <w:rPr>
        <w:sz w:val="20"/>
        <w:szCs w:val="20"/>
      </w:rPr>
      <w:t>adresa</w:t>
    </w:r>
    <w:proofErr w:type="spellEnd"/>
    <w:r w:rsidRPr="0026667E">
      <w:rPr>
        <w:sz w:val="20"/>
        <w:szCs w:val="20"/>
      </w:rPr>
      <w:t xml:space="preserve"> 61 / 31.01.2024</w:t>
    </w:r>
  </w:p>
  <w:p w14:paraId="41FE14DA" w14:textId="77777777" w:rsidR="0026667E" w:rsidRPr="0026667E" w:rsidRDefault="0026667E" w:rsidP="0026667E">
    <w:pPr>
      <w:pStyle w:val="Header"/>
      <w:ind w:left="-142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FE62" w14:textId="77777777" w:rsidR="0026667E" w:rsidRDefault="00266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ED"/>
    <w:rsid w:val="0000141C"/>
    <w:rsid w:val="00156F9E"/>
    <w:rsid w:val="00172751"/>
    <w:rsid w:val="001D1D34"/>
    <w:rsid w:val="001F27E9"/>
    <w:rsid w:val="001F5D8A"/>
    <w:rsid w:val="00263DD3"/>
    <w:rsid w:val="0026667E"/>
    <w:rsid w:val="002C157A"/>
    <w:rsid w:val="002D3E53"/>
    <w:rsid w:val="00331AF5"/>
    <w:rsid w:val="00340CD3"/>
    <w:rsid w:val="003950D0"/>
    <w:rsid w:val="0047675B"/>
    <w:rsid w:val="004A24FF"/>
    <w:rsid w:val="004A3606"/>
    <w:rsid w:val="004C216B"/>
    <w:rsid w:val="00521D11"/>
    <w:rsid w:val="005B053F"/>
    <w:rsid w:val="00600035"/>
    <w:rsid w:val="00624091"/>
    <w:rsid w:val="00685243"/>
    <w:rsid w:val="006E3DB0"/>
    <w:rsid w:val="007179A3"/>
    <w:rsid w:val="00767644"/>
    <w:rsid w:val="007711F7"/>
    <w:rsid w:val="007B7452"/>
    <w:rsid w:val="007B77D6"/>
    <w:rsid w:val="00851FED"/>
    <w:rsid w:val="00861BCA"/>
    <w:rsid w:val="0086574C"/>
    <w:rsid w:val="00872D67"/>
    <w:rsid w:val="0088127A"/>
    <w:rsid w:val="009D7952"/>
    <w:rsid w:val="00BB7B12"/>
    <w:rsid w:val="00C31F03"/>
    <w:rsid w:val="00C5767D"/>
    <w:rsid w:val="00CE2DB7"/>
    <w:rsid w:val="00D75386"/>
    <w:rsid w:val="00D960E4"/>
    <w:rsid w:val="00DF32A4"/>
    <w:rsid w:val="00EB3B58"/>
    <w:rsid w:val="00F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92CBB"/>
  <w15:chartTrackingRefBased/>
  <w15:docId w15:val="{2999C438-BB9B-A648-AFED-223E090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ED"/>
  </w:style>
  <w:style w:type="paragraph" w:styleId="Footer">
    <w:name w:val="footer"/>
    <w:basedOn w:val="Normal"/>
    <w:link w:val="Foot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ED"/>
  </w:style>
  <w:style w:type="paragraph" w:styleId="ListParagraph">
    <w:name w:val="List Paragraph"/>
    <w:basedOn w:val="Normal"/>
    <w:uiPriority w:val="34"/>
    <w:qFormat/>
    <w:rsid w:val="00340CD3"/>
    <w:pPr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Default">
    <w:name w:val="Default"/>
    <w:rsid w:val="00340C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nhideWhenUsed/>
    <w:rsid w:val="00340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C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Negoita, Raluca (BCH-MEW)</dc:creator>
  <cp:keywords/>
  <dc:description/>
  <cp:lastModifiedBy>Mihaela Dascalu</cp:lastModifiedBy>
  <cp:revision>25</cp:revision>
  <cp:lastPrinted>2023-07-31T14:17:00Z</cp:lastPrinted>
  <dcterms:created xsi:type="dcterms:W3CDTF">2023-01-04T12:31:00Z</dcterms:created>
  <dcterms:modified xsi:type="dcterms:W3CDTF">2024-01-31T17:36:00Z</dcterms:modified>
</cp:coreProperties>
</file>